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John Smith</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[REVIEW: Provide Ensure your SAN has the exact addressee of this EL as an Engaging Party and that this addressee also has an approved CEAC Client Acceptance with KPMG Canada. This is the “3-way match” concept.]</w:t>
      </w:r>
      <w:r w:rsidR="0072697C" w:rsidRPr="0072697C">
        <w:rPr>
          <w:rFonts w:asciiTheme="minorHAnsi" w:hAnsiTheme="minorHAnsi" w:cstheme="minorHAnsi"/>
          <w:i/>
          <w:iCs/>
          <w:color w:val="FF0000"/>
          <w:sz w:val="20"/>
          <w:highlight w:val="yellow"/>
        </w:rPr>
      </w:r>
      <w:r w:rsidR="0072697C">
        <w:rPr>
          <w:rFonts w:asciiTheme="minorHAnsi" w:hAnsiTheme="minorHAnsi" w:cstheme="minorHAnsi"/>
          <w:i/>
          <w:iCs/>
          <w:color w:val="FF0000"/>
          <w:sz w:val="20"/>
          <w:highlight w:val="yellow"/>
        </w:rPr>
      </w:r>
      <w:r w:rsidR="0072697C" w:rsidRPr="00F97C13">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Acme Holdings Inc.</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HealthCo Medical Clinics Inc.</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acquisition of</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Atlas</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a PDF written report and an Excel data book</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John Smith</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January 20, 2026</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February 15, 2026</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Jane Doe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Robert Chen</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Michael Williams</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We are pleased to offer a 10%</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acquisition of</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(estimates are net of your 10%</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150,000</w:t>
      </w:r>
      <w:r w:rsidR="008E3375" w:rsidRPr="008E3375">
        <w:rPr>
          <w:rFonts w:asciiTheme="minorHAnsi" w:hAnsiTheme="minorHAnsi" w:cstheme="minorHAnsi"/>
          <w:sz w:val="20"/>
        </w:rPr>
        <w:t xml:space="preserve"> to </w:t>
      </w:r>
      <w:r w:rsidR="00200416">
        <w:rPr>
          <w:rFonts w:asciiTheme="minorHAnsi" w:hAnsiTheme="minorHAnsi" w:cstheme="minorHAnsi"/>
          <w:sz w:val="20"/>
        </w:rPr>
        <w:t>200,000</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30,000</w:t>
      </w:r>
      <w:r w:rsidR="008E3375" w:rsidRPr="008E3375">
        <w:rPr>
          <w:rFonts w:asciiTheme="minorHAnsi" w:hAnsiTheme="minorHAnsi" w:cstheme="minorHAnsi"/>
          <w:sz w:val="20"/>
        </w:rPr>
        <w:t xml:space="preserve"> to </w:t>
      </w:r>
      <w:r w:rsidR="00200416">
        <w:rPr>
          <w:rFonts w:asciiTheme="minorHAnsi" w:hAnsiTheme="minorHAnsi" w:cstheme="minorHAnsi"/>
          <w:sz w:val="20"/>
        </w:rPr>
        <w:t>50,000</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Acme Holdings Inc.</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Target </w:t>
      </w:r>
      <w:r w:rsidR="00200416">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 and 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interesting and challenging</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Acme Holdings Inc.</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Acme Holdings Inc.</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Business overview</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in order to develop an understanding of operations, including its:</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growth by geography; and</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internal control environment.</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to obtain background information about Target, including its: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History;</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Organizational structure and management reporting relationships;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Services offered;</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Trends in payor mix;</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 novo expansion;</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Financing arrangements with patients, if applicable;</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Business risks and opportunities; and</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Information systems.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Accounting overview</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Target's accounting policies and practices with management, including:</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policies and recent or contemplated changes in accounting principles, procedures, or estimates;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(e.g. bad debt provision, rebates, capitalized R&amp;D, etc.);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accounts and related party transactions, if any.</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if the following accounting policies have been applied consistently within and across historical periods: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versus accrual accounting policies;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policies;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Depreciation policies; and</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Differences between interim and year-end procedures; and</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Discuss healthcare-specific accounting profile considerations with management, including:</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Reporting methodology and management reporting structure;</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for cost allocations and shared services, if any;</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 by service type and payor class, and any recent policy changes; and</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and non-recurring transactions.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earnings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and where possible quantify, potential earnings before interest, taxes, depreciation, and amortization ("EBITDA") normalization items by considering:</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the normalization adjustments identified by Management;</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non-recurring events, or transactions that may have distorted results;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to senior management or management team structure;</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provisions (allowance for doubtful accounts, inventory obsolescence, other), management estimates or adjusting entries on the reported results;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foreign currency transactions;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related party transactions and shared services provided by other entities, if applicable;</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in accounting policies, procedures and estimates; and</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identified during the due diligence process.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potential adjustments identified regarding the profit and loss performance of Target in the form of a quality of earnings analysis, summarizing the risks that may impact EBITDA, including:</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out of period revenue and expense (e.g., cash to accrual accounting impact); and</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Pro forma impacts for items such as recent de novo.</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Revenue analysis</w:t>
      </w:r>
    </w:p>
    <w:p w14:paraId="659699C4" w14:textId="77777777" w:rsidR="003C4524" w:rsidRPr="00FF7051" w:rsidRDefault="003C4524" w:rsidP="00783715">
      <w:pPr>
        <w:pStyle w:val="BodyText"/>
        <w:numPr>
          <w:ilvl w:val="0"/>
          <w:numId w:val="5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and margin by significant customer, channel, and/or market segment, as applicable; and</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Price, volume, and mix trends.</w:t>
      </w:r>
    </w:p>
    <w:p w14:paraId="659699C4" w14:textId="77777777" w:rsidR="003C4524" w:rsidRPr="00FF7051" w:rsidRDefault="003C4524" w:rsidP="00783715">
      <w:pPr>
        <w:pStyle w:val="BodyText"/>
        <w:numPr>
          <w:ilvl w:val="0"/>
          <w:numId w:val="51"/>
        </w:numPr>
        <w:spacing w:line="260" w:lineRule="exact"/>
        <w:ind w:left="720"/>
        <w:rPr>
          <w:rFonts w:asciiTheme="minorHAnsi" w:hAnsiTheme="minorHAnsi" w:cstheme="minorHAnsi"/>
          <w:sz w:val="20"/>
        </w:rPr>
      </w:pPr>
      <w:r w:rsidRPr="00FF7051">
        <w:rPr>
          <w:rFonts w:asciiTheme="minorHAnsi" w:hAnsiTheme="minorHAnsi" w:cstheme="minorHAnsi"/>
          <w:b w:val="0"/>
          <w:sz w:val="20"/>
        </w:rPr>
        <w:t>Discuss with management key drivers of revenue and margin over the Historical Period, including:</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Major customer/contract wins or losses and timing impacts;</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Non-recurring items affecting period results; and</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Operational, market, or seasonal factors affecting demand and fulfillment.</w:t>
      </w:r>
    </w:p>
    <w:p w14:paraId="659699C4" w14:textId="77777777" w:rsidR="003C4524" w:rsidRPr="00FF7051" w:rsidRDefault="003C4524" w:rsidP="00783715">
      <w:pPr>
        <w:pStyle w:val="BodyText"/>
        <w:numPr>
          <w:ilvl w:val="0"/>
          <w:numId w:val="5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an analysis of revenue quality and related balances, and inquire about:</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 and any recent changes;</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Billing and collection terms, including significant deviations from standard terms;</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Credits, rebates, returns, and other contra-revenue items;</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Concentration/dependency risk; and</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unusual items affecting reported revenue or gross margin.</w:t>
      </w:r>
    </w:p>
    <w:p w14:paraId="659699C4" w14:textId="77777777" w:rsidR="003C4524" w:rsidRPr="00FF7051" w:rsidRDefault="003C4524" w:rsidP="00783715">
      <w:pPr>
        <w:pStyle w:val="BodyText"/>
        <w:numPr>
          <w:ilvl w:val="0"/>
          <w:numId w:val="5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center-level financial information, including key operating metrics, revenue, and EBITDA, and inquire about unusual trends or fluctuations over the historical period, including unusual or non-standard contracts.</w:t>
      </w:r>
    </w:p>
    <w:p w14:paraId="659699C4" w14:textId="77777777" w:rsidR="003C4524" w:rsidRPr="00FF7051" w:rsidRDefault="003C4524" w:rsidP="00783715">
      <w:pPr>
        <w:pStyle w:val="BodyText"/>
        <w:numPr>
          <w:ilvl w:val="0"/>
          <w:numId w:val="51"/>
        </w:numPr>
        <w:spacing w:line="260" w:lineRule="exact"/>
        <w:ind w:left="720"/>
        <w:rPr>
          <w:rFonts w:asciiTheme="minorHAnsi" w:hAnsiTheme="minorHAnsi" w:cstheme="minorHAnsi"/>
          <w:sz w:val="20"/>
        </w:rPr>
      </w:pPr>
      <w:r w:rsidRPr="00FF7051">
        <w:rPr>
          <w:rFonts w:asciiTheme="minorHAnsi" w:hAnsiTheme="minorHAnsi" w:cstheme="minorHAnsi"/>
          <w:b w:val="0"/>
          <w:sz w:val="20"/>
        </w:rPr>
        <w:t>Bridge revenue and profitability over the historical period by considering:</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Same-location and de novo center performance;</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Center-based versus home-based mix;</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Procedure mix (including CPT-code-level analysis, where available);</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Top patient and/or top payor concentration;</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Changes in direct and indirect operating expenses;</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Center-level expense trends;</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Corporate overhead allocations, if any;</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 novo start-up costs; and</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Components of other income and expense that may impact EBITDA.</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Waterfall Revenue Analysis</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If available, obtain patient/encounter-level detail from billing and collections systems to perform a claims-level revenue analysis reflecting net cash received on closed claims and estimated cash expected on open claims (based on historical reimbursement trends). Discuss with management:</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Drivers of monthly/quarterly/annual net revenue trends by location, significant payor, and significant service code;</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Reimbursement trends by payor, service, and location;</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Pricing/volume trends by location, payor, and service;</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Payor mix trends in total and by location;</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Trends and drivers of fluctuation in the cash collection cycle;</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Reconciliation of cash collections reported in the billing system to third-party bank statements (on a sample basis); and</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Reconciliation of billing and collection information to financial statements.</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Bridge revenue for changes in patient volumes, same-store/de novo/acquired facilities, and changes in direct and indirect operating expenses.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expenses</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expenses and inquire about:</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Costing methodology;</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 of sale trends, impact of material change in vendors (if any);</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compensation and related costs by function;</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Selling, general, and administrative expenses;</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Repairs and maintenance expense;</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 (if any).</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Behavior therapists (registered and unregistered) and board-certified behavior analysts: compensation, benefits, incentive compensation, and turnover.</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Non-provider salaries, wages, and benefits, including incentive compensation.</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Owner compensation and benefits.</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Treatment supplies, including key suppliers and purchasing terms.</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Center-level costs and sub-leasing arrangements.</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Insurance expense.</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Selling, general, and administrative/corporate expenses.</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Overhead allocations.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Working capital</w:t>
      </w:r>
    </w:p>
    <w:p w14:paraId="659699C4" w14:textId="77777777" w:rsidR="003C4524" w:rsidRPr="00FF7051" w:rsidRDefault="003C4524" w:rsidP="00783715">
      <w:pPr>
        <w:pStyle w:val="BodyText"/>
        <w:numPr>
          <w:ilvl w:val="0"/>
          <w:numId w:val="60"/>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monthly details of the Company's consolidated working capital and analyze and comment on:</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composition of individual working capital accounts (e.g., trade receivables, accounts payable and accruals, etc.);</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Monthly working capital trends, metrics, and seasonality;</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the accounting impact of allowance for uncollectible amounts and other accruals requiring judgment.</w:t>
      </w:r>
    </w:p>
    <w:p w14:paraId="659699C4" w14:textId="77777777" w:rsidR="003C4524" w:rsidRPr="00FF7051" w:rsidRDefault="003C4524" w:rsidP="00783715">
      <w:pPr>
        <w:pStyle w:val="BodyText"/>
        <w:numPr>
          <w:ilvl w:val="0"/>
          <w:numId w:val="60"/>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working capital on a monthly basis and inquire about historical trends, including seasonality, fluctuations in days revenue outstanding and days payable outstanding, working capital as a percent of trailing revenue, and other significant items.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Inventory</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inventory and inquire and comment on:</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inventory valuation methodology (e.g. standard costing);</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vendor allowances, rebates, allowances and/or purchase commitments and related programs;</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Return to vendor provisions;</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Inventory aging and estimated provision, if any (i.e. slow-moving inventory).</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Other Assets</w:t>
      </w:r>
    </w:p>
    <w:p w14:paraId="659699C4" w14:textId="77777777" w:rsidR="003C4524" w:rsidRPr="00FF7051" w:rsidRDefault="003C4524" w:rsidP="00783715">
      <w:pPr>
        <w:pStyle w:val="BodyText"/>
        <w:numPr>
          <w:ilvl w:val="0"/>
          <w:numId w:val="64"/>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summary of and comment on unusual items, significant fluctuations, and significant balances.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receivable</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Target’s accounts receivable and inquire and comment on:</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Billed/unbilled aging analysis, turnover and days sales outstanding;</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 terms;</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 and non-trade balances;</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uncollectible accounts and write-offs.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Aging analysis by center and by payor.</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Contractual allowances.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Allowance for doubtful accounts and write-offs.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Prior-period accounts receivable adjustments.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Self-pay and credit balances.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Collection experience.</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Other reserves and adjustments.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payable and accrued liabilities</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accounts payable, accrued liabilities and customer deposits and inquire about:</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 and days outstanding;</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Supplier settlement terms; and</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liabilities.</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accounts payable and accrued liabilities and inquire about:</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 terms of trade with major vendors, and days payable outstanding;</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Deferred revenue; and</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liabilities.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existing and future capital cost requirements including:</w:t>
      </w:r>
    </w:p>
    <w:p w14:paraId="45E4FF87" w14:textId="77777777" w:rsidR="003C4524" w:rsidRPr="00FF7051" w:rsidRDefault="003C4524" w:rsidP="00783715">
      <w:pPr>
        <w:pStyle w:val="BodyText"/>
        <w:numPr>
          <w:ilvl w:val="0"/>
          <w:numId w:val="7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w:t>
      </w:r>
    </w:p>
    <w:p w14:paraId="45E4FF87" w14:textId="77777777" w:rsidR="003C4524" w:rsidRPr="00FF7051" w:rsidRDefault="003C4524" w:rsidP="00783715">
      <w:pPr>
        <w:pStyle w:val="BodyText"/>
        <w:numPr>
          <w:ilvl w:val="0"/>
          <w:numId w:val="7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Fixed-asset continuity schedules (including significant additions and disposals).</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Under-utilized assets and impairment write-downs/issues.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Commitments and contingencies</w:t>
      </w:r>
    </w:p>
    <w:p w14:paraId="659699C4" w14:textId="77777777" w:rsidR="003C4524" w:rsidRPr="00FF7051" w:rsidRDefault="003C4524" w:rsidP="00783715">
      <w:pPr>
        <w:pStyle w:val="BodyText"/>
        <w:numPr>
          <w:ilvl w:val="0"/>
          <w:numId w:val="72"/>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significant commitments and contingent liabilities including:</w:t>
      </w:r>
    </w:p>
    <w:p w14:paraId="45E4FF87" w14:textId="77777777" w:rsidR="003C4524" w:rsidRPr="00FF7051" w:rsidRDefault="003C4524" w:rsidP="00783715">
      <w:pPr>
        <w:pStyle w:val="BodyText"/>
        <w:numPr>
          <w:ilvl w:val="0"/>
          <w:numId w:val="7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45E4FF87" w14:textId="77777777" w:rsidR="003C4524" w:rsidRPr="00FF7051" w:rsidRDefault="003C4524" w:rsidP="00783715">
      <w:pPr>
        <w:pStyle w:val="BodyText"/>
        <w:numPr>
          <w:ilvl w:val="0"/>
          <w:numId w:val="7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obligations, including leases;</w:t>
      </w:r>
    </w:p>
    <w:p w14:paraId="45E4FF87" w14:textId="77777777" w:rsidR="003C4524" w:rsidRPr="00FF7051" w:rsidRDefault="003C4524" w:rsidP="00783715">
      <w:pPr>
        <w:pStyle w:val="BodyText"/>
        <w:numPr>
          <w:ilvl w:val="0"/>
          <w:numId w:val="7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Purchase commitments; and</w:t>
      </w:r>
    </w:p>
    <w:p w14:paraId="45E4FF87" w14:textId="77777777" w:rsidR="003C4524" w:rsidRPr="00FF7051" w:rsidRDefault="003C4524" w:rsidP="00783715">
      <w:pPr>
        <w:pStyle w:val="BodyText"/>
        <w:numPr>
          <w:ilvl w:val="0"/>
          <w:numId w:val="7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agreements (e.g. transaction/retention bonuses, change-in-control, deferred compensation, or severance agreements, etc.);</w:t>
      </w:r>
    </w:p>
    <w:p w14:paraId="45E4FF87" w14:textId="77777777" w:rsidR="003C4524" w:rsidRPr="00FF7051" w:rsidRDefault="003C4524" w:rsidP="00783715">
      <w:pPr>
        <w:pStyle w:val="BodyText"/>
        <w:numPr>
          <w:ilvl w:val="0"/>
          <w:numId w:val="7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Incentive compensation and employee benefit obligations;</w:t>
      </w:r>
    </w:p>
    <w:p w14:paraId="45E4FF87" w14:textId="77777777" w:rsidR="003C4524" w:rsidRPr="00FF7051" w:rsidRDefault="003C4524" w:rsidP="00783715">
      <w:pPr>
        <w:pStyle w:val="BodyText"/>
        <w:numPr>
          <w:ilvl w:val="0"/>
          <w:numId w:val="7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or contingent liabilities (e.g. environmental, litigation, regulatory and tax); and</w:t>
      </w:r>
    </w:p>
    <w:p w14:paraId="45E4FF87" w14:textId="77777777" w:rsidR="003C4524" w:rsidRPr="00FF7051" w:rsidRDefault="003C4524" w:rsidP="00783715">
      <w:pPr>
        <w:pStyle w:val="BodyText"/>
        <w:numPr>
          <w:ilvl w:val="0"/>
          <w:numId w:val="7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w:t>
      </w:r>
    </w:p>
    <w:p w14:paraId="659699C4" w14:textId="77777777" w:rsidR="003C4524" w:rsidRPr="00FF7051" w:rsidRDefault="003C4524" w:rsidP="00783715">
      <w:pPr>
        <w:pStyle w:val="BodyText"/>
        <w:numPr>
          <w:ilvl w:val="0"/>
          <w:numId w:val="72"/>
        </w:numPr>
        <w:spacing w:line="260" w:lineRule="exact"/>
        <w:ind w:left="720"/>
        <w:rPr>
          <w:rFonts w:asciiTheme="minorHAnsi" w:hAnsiTheme="minorHAnsi" w:cstheme="minorHAnsi"/>
          <w:sz w:val="20"/>
        </w:rPr>
      </w:pPr>
      <w:r w:rsidRPr="00FF7051">
        <w:rPr>
          <w:rFonts w:asciiTheme="minorHAnsi" w:hAnsiTheme="minorHAnsi" w:cstheme="minorHAnsi"/>
          <w:b w:val="0"/>
          <w:sz w:val="20"/>
        </w:rPr>
        <w:t>Self-insurance;</w:t>
      </w:r>
    </w:p>
    <w:p w14:paraId="659699C4" w14:textId="77777777" w:rsidR="003C4524" w:rsidRPr="00FF7051" w:rsidRDefault="003C4524" w:rsidP="00783715">
      <w:pPr>
        <w:pStyle w:val="BodyText"/>
        <w:numPr>
          <w:ilvl w:val="0"/>
          <w:numId w:val="72"/>
        </w:numPr>
        <w:spacing w:line="260" w:lineRule="exact"/>
        <w:ind w:left="720"/>
        <w:rPr>
          <w:rFonts w:asciiTheme="minorHAnsi" w:hAnsiTheme="minorHAnsi" w:cstheme="minorHAnsi"/>
          <w:sz w:val="20"/>
        </w:rPr>
      </w:pPr>
      <w:r w:rsidRPr="00FF7051">
        <w:rPr>
          <w:rFonts w:asciiTheme="minorHAnsi" w:hAnsiTheme="minorHAnsi" w:cstheme="minorHAnsi"/>
          <w:b w:val="0"/>
          <w:sz w:val="20"/>
        </w:rPr>
        <w:t>Post-retirement benefits;</w:t>
      </w:r>
    </w:p>
    <w:p w14:paraId="659699C4" w14:textId="77777777" w:rsidR="003C4524" w:rsidRPr="00FF7051" w:rsidRDefault="003C4524" w:rsidP="00783715">
      <w:pPr>
        <w:pStyle w:val="BodyText"/>
        <w:numPr>
          <w:ilvl w:val="0"/>
          <w:numId w:val="72"/>
        </w:numPr>
        <w:spacing w:line="260" w:lineRule="exact"/>
        <w:ind w:left="720"/>
        <w:rPr>
          <w:rFonts w:asciiTheme="minorHAnsi" w:hAnsiTheme="minorHAnsi" w:cstheme="minorHAnsi"/>
          <w:sz w:val="20"/>
        </w:rPr>
      </w:pPr>
      <w:r w:rsidRPr="00FF7051">
        <w:rPr>
          <w:rFonts w:asciiTheme="minorHAnsi" w:hAnsiTheme="minorHAnsi" w:cstheme="minorHAnsi"/>
          <w:b w:val="0"/>
          <w:sz w:val="20"/>
        </w:rPr>
        <w:t>Incentive compensation plans;</w:t>
      </w:r>
    </w:p>
    <w:p w14:paraId="659699C4" w14:textId="77777777" w:rsidR="003C4524" w:rsidRPr="00FF7051" w:rsidRDefault="003C4524" w:rsidP="00783715">
      <w:pPr>
        <w:pStyle w:val="BodyText"/>
        <w:numPr>
          <w:ilvl w:val="0"/>
          <w:numId w:val="72"/>
        </w:numPr>
        <w:spacing w:line="260" w:lineRule="exact"/>
        <w:ind w:left="720"/>
        <w:rPr>
          <w:rFonts w:asciiTheme="minorHAnsi" w:hAnsiTheme="minorHAnsi" w:cstheme="minorHAnsi"/>
          <w:sz w:val="20"/>
        </w:rPr>
      </w:pPr>
      <w:r w:rsidRPr="00FF7051">
        <w:rPr>
          <w:rFonts w:asciiTheme="minorHAnsi" w:hAnsiTheme="minorHAnsi" w:cstheme="minorHAnsi"/>
          <w:b w:val="0"/>
          <w:sz w:val="20"/>
        </w:rPr>
        <w:t>Leases;</w:t>
      </w:r>
    </w:p>
    <w:p w14:paraId="659699C4" w14:textId="77777777" w:rsidR="003C4524" w:rsidRPr="00FF7051" w:rsidRDefault="003C4524" w:rsidP="00783715">
      <w:pPr>
        <w:pStyle w:val="BodyText"/>
        <w:numPr>
          <w:ilvl w:val="0"/>
          <w:numId w:val="72"/>
        </w:numPr>
        <w:spacing w:line="260" w:lineRule="exact"/>
        <w:ind w:left="72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659699C4" w14:textId="77777777" w:rsidR="003C4524" w:rsidRPr="00FF7051" w:rsidRDefault="003C4524" w:rsidP="00783715">
      <w:pPr>
        <w:pStyle w:val="BodyText"/>
        <w:numPr>
          <w:ilvl w:val="0"/>
          <w:numId w:val="72"/>
        </w:numPr>
        <w:spacing w:line="260" w:lineRule="exact"/>
        <w:ind w:left="720"/>
        <w:rPr>
          <w:rFonts w:asciiTheme="minorHAnsi" w:hAnsiTheme="minorHAnsi" w:cstheme="minorHAnsi"/>
          <w:sz w:val="20"/>
        </w:rPr>
      </w:pPr>
      <w:r w:rsidRPr="00FF7051">
        <w:rPr>
          <w:rFonts w:asciiTheme="minorHAnsi" w:hAnsiTheme="minorHAnsi" w:cstheme="minorHAnsi"/>
          <w:b w:val="0"/>
          <w:sz w:val="20"/>
        </w:rPr>
        <w:t>Other significant and/or unusual liabilities.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Net debt</w:t>
      </w:r>
    </w:p>
    <w:p w14:paraId="659699C4" w14:textId="77777777" w:rsidR="003C4524" w:rsidRPr="00FF7051" w:rsidRDefault="003C4524" w:rsidP="00783715">
      <w:pPr>
        <w:pStyle w:val="BodyText"/>
        <w:numPr>
          <w:ilvl w:val="0"/>
          <w:numId w:val="74"/>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net debt items (on and off-balance sheet) presented by Management and other potential debt-like items;</w:t>
      </w:r>
    </w:p>
    <w:p w14:paraId="659699C4" w14:textId="77777777" w:rsidR="003C4524" w:rsidRPr="00FF7051" w:rsidRDefault="003C4524" w:rsidP="00783715">
      <w:pPr>
        <w:pStyle w:val="BodyText"/>
        <w:numPr>
          <w:ilvl w:val="0"/>
          <w:numId w:val="74"/>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
    <w:p w14:paraId="659699C4" w14:textId="77777777" w:rsidR="003C4524" w:rsidRPr="00FF7051" w:rsidRDefault="003C4524" w:rsidP="00783715">
      <w:pPr>
        <w:pStyle w:val="BodyText"/>
        <w:numPr>
          <w:ilvl w:val="0"/>
          <w:numId w:val="74"/>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read, and discuss with management net debt and debt-like items, whether recorded on-balance sheet or off-balance sheet (for example: notes payable, capital vendor payables, deferred purchase price of property or services, accrued bonuses, and capital lease obligations), including expected future payout timing and amounts.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Audit work paper</w:t>
      </w:r>
    </w:p>
    <w:p w14:paraId="659699C4" w14:textId="77777777" w:rsidR="003C4524" w:rsidRPr="00FF7051" w:rsidRDefault="003C4524" w:rsidP="00783715">
      <w:pPr>
        <w:pStyle w:val="BodyText"/>
        <w:numPr>
          <w:ilvl w:val="0"/>
          <w:numId w:val="75"/>
        </w:numPr>
        <w:spacing w:line="260" w:lineRule="exact"/>
        <w:ind w:left="720"/>
        <w:rPr>
          <w:rFonts w:asciiTheme="minorHAnsi" w:hAnsiTheme="minorHAnsi" w:cstheme="minorHAnsi"/>
          <w:sz w:val="20"/>
        </w:rPr>
      </w:pPr>
      <w:r w:rsidRPr="00FF7051">
        <w:rPr>
          <w:rFonts w:asciiTheme="minorHAnsi" w:hAnsiTheme="minorHAnsi" w:cstheme="minorHAnsi"/>
          <w:b w:val="0"/>
          <w:sz w:val="20"/>
        </w:rPr>
        <w:t>If required, obtain and read the auditor's working papers for the latest fiscal year.</w:t>
      </w:r>
    </w:p>
    <w:p w14:paraId="659699C4" w14:textId="77777777" w:rsidR="003C4524" w:rsidRPr="00FF7051" w:rsidRDefault="003C4524" w:rsidP="00783715">
      <w:pPr>
        <w:pStyle w:val="BodyText"/>
        <w:numPr>
          <w:ilvl w:val="0"/>
          <w:numId w:val="75"/>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the nature and volume of audit differences (recorded and unrecorded adjustments), use of accounting estimates, and any changes in accounting policies or methods.</w:t>
      </w:r>
    </w:p>
    <w:p w14:paraId="659699C4" w14:textId="77777777" w:rsidR="003C4524" w:rsidRPr="00FF7051" w:rsidRDefault="003C4524" w:rsidP="00783715">
      <w:pPr>
        <w:pStyle w:val="BodyText"/>
        <w:numPr>
          <w:ilvl w:val="0"/>
          <w:numId w:val="75"/>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control issues identified by the external auditors, if applicable.</w:t>
      </w:r>
    </w:p>
    <w:p w14:paraId="659699C4" w14:textId="77777777" w:rsidR="003C4524" w:rsidRPr="00FF7051" w:rsidRDefault="003C4524" w:rsidP="00783715">
      <w:pPr>
        <w:pStyle w:val="BodyText"/>
        <w:numPr>
          <w:ilvl w:val="0"/>
          <w:numId w:val="75"/>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any additional red flags or key risks identified in the provided audit materials.</w:t>
      </w:r>
    </w:p>
    <w:p w14:paraId="659699C4" w14:textId="77777777" w:rsidR="003C4524" w:rsidRPr="00FF7051" w:rsidRDefault="003C4524" w:rsidP="00783715">
      <w:pPr>
        <w:pStyle w:val="BodyText"/>
        <w:numPr>
          <w:ilvl w:val="0"/>
          <w:numId w:val="75"/>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audit committee reporting and presentations from the audit firm.</w:t>
      </w: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John Smith</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Atlas</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acquisition of</w:t>
      </w:r>
      <w:r w:rsidR="00077BF0">
        <w:rPr>
          <w:rFonts w:asciiTheme="minorHAnsi" w:hAnsiTheme="minorHAnsi" w:cstheme="minorHAnsi"/>
          <w:sz w:val="20"/>
        </w:rPr>
        <w:t xml:space="preserve"> </w:t>
      </w:r>
      <w:r w:rsidR="00200416">
        <w:rPr>
          <w:rFonts w:asciiTheme="minorHAnsi" w:hAnsiTheme="minorHAnsi" w:cstheme="minorHAnsi"/>
          <w:sz w:val="20"/>
        </w:rPr>
        <w:t>the cardiac services division of HealthCo</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Acme Holdings Inc.</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David Wilson</w:t>
      </w:r>
    </w:p>
    <w:p w14:paraId="15D401D2" w14:textId="77777777" w:rsidR="00D62D05" w:rsidRPr="00727A4C" w:rsidRDefault="00200416" w:rsidP="00783715">
      <w:pPr>
        <w:spacing w:line="260" w:lineRule="atLeast"/>
        <w:ind w:right="360"/>
        <w:rPr>
          <w:rFonts w:cs="Arial"/>
          <w:sz w:val="20"/>
        </w:rPr>
      </w:pPr>
      <w:r>
        <w:rPr>
          <w:rFonts w:cs="Arial"/>
          <w:sz w:val="20"/>
        </w:rPr>
        <w:t>Buyer Co. Advisors LLP</w:t>
      </w:r>
    </w:p>
    <w:p w14:paraId="01569103" w14:textId="77777777" w:rsidR="00D62D05" w:rsidRPr="00727A4C" w:rsidRDefault="00200416" w:rsidP="00783715">
      <w:pPr>
        <w:spacing w:line="260" w:lineRule="atLeast"/>
        <w:ind w:right="360"/>
        <w:rPr>
          <w:rFonts w:cs="Arial"/>
          <w:sz w:val="20"/>
        </w:rPr>
      </w:pPr>
      <w:r>
        <w:rPr>
          <w:rFonts w:cs="Arial"/>
          <w:sz w:val="20"/>
        </w:rPr>
        <w:t>123 Bay Street, Suite 4000</w:t>
      </w:r>
    </w:p>
    <w:p w14:paraId="7105CAA5" w14:textId="77777777" w:rsidR="00D62D05" w:rsidRPr="00727A4C" w:rsidRDefault="00200416" w:rsidP="00783715">
      <w:pPr>
        <w:spacing w:line="260" w:lineRule="atLeast"/>
        <w:ind w:right="360"/>
        <w:rPr>
          <w:rFonts w:cs="Arial"/>
          <w:sz w:val="20"/>
        </w:rPr>
      </w:pPr>
      <w:r>
        <w:rPr>
          <w:rFonts w:cs="Arial"/>
          <w:sz w:val="20"/>
        </w:rPr>
        <w:t>Toronto, Ontario M5J 2T3</w:t>
      </w:r>
    </w:p>
    <w:p w14:paraId="063C22BE" w14:textId="77777777" w:rsidR="00D62D05" w:rsidRDefault="00200416" w:rsidP="00783715">
      <w:pPr>
        <w:spacing w:line="260" w:lineRule="atLeast"/>
        <w:ind w:right="360"/>
        <w:rPr>
          <w:rFonts w:cs="Arial"/>
          <w:sz w:val="20"/>
        </w:rPr>
      </w:pPr>
      <w:r>
        <w:rPr>
          <w:rFonts w:cs="Arial"/>
          <w:sz w:val="20"/>
        </w:rPr>
        <w:t>[REVIEW: Provide 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February 1, 2026</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Atlas</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acquisition</w:t>
      </w:r>
      <w:r w:rsidR="00C37147">
        <w:rPr>
          <w:rFonts w:ascii="Arial" w:hAnsi="Arial" w:cs="Arial"/>
          <w:sz w:val="20"/>
        </w:rPr>
        <w:t xml:space="preserve"> </w:t>
      </w:r>
      <w:r w:rsidR="00200416">
        <w:rPr>
          <w:rFonts w:ascii="Arial" w:hAnsi="Arial" w:cs="Arial"/>
          <w:sz w:val="20"/>
        </w:rPr>
        <w:t>HealthCo Medical Clinics Inc.</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our due diligence report relating to Project 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Buyer Co. Advisors LLP</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Acme Holdings</w:t>
    </w:r>
  </w:p>
  <w:p w14:paraId="1D70539D" w14:textId="77777777" w:rsidR="00106DAC" w:rsidRDefault="00200416" w:rsidP="00D007CC">
    <w:pPr>
      <w:pStyle w:val="Header"/>
      <w:jc w:val="right"/>
    </w:pPr>
    <w:r>
      <w:t>Project Atlas</w:t>
    </w:r>
  </w:p>
  <w:p w14:paraId="79447344" w14:textId="77777777" w:rsidR="00106DAC" w:rsidRDefault="00200416"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 w:numId="40">
    <w:abstractNumId w:val="13"/>
    <w:lvlOverride w:ilvl="0">
      <w:startOverride w:val="1"/>
    </w:lvlOverride>
  </w:num>
  <w:num w:numId="41">
    <w:abstractNumId w:val="34"/>
    <w:lvlOverride w:ilvl="0">
      <w:startOverride w:val="1"/>
    </w:lvlOverride>
  </w:num>
  <w:num w:numId="42">
    <w:abstractNumId w:val="30"/>
    <w:lvlOverride w:ilvl="0">
      <w:startOverride w:val="1"/>
    </w:lvlOverride>
  </w:num>
  <w:num w:numId="43">
    <w:abstractNumId w:val="30"/>
    <w:lvlOverride w:ilvl="0">
      <w:startOverride w:val="1"/>
    </w:lvlOverride>
  </w:num>
  <w:num w:numId="44">
    <w:abstractNumId w:val="34"/>
    <w:lvlOverride w:ilvl="0">
      <w:startOverride w:val="1"/>
    </w:lvlOverride>
  </w:num>
  <w:num w:numId="45">
    <w:abstractNumId w:val="30"/>
    <w:lvlOverride w:ilvl="0">
      <w:startOverride w:val="1"/>
    </w:lvlOverride>
  </w:num>
  <w:num w:numId="46">
    <w:abstractNumId w:val="30"/>
    <w:lvlOverride w:ilvl="0">
      <w:startOverride w:val="1"/>
    </w:lvlOverride>
  </w:num>
  <w:num w:numId="47">
    <w:abstractNumId w:val="30"/>
    <w:lvlOverride w:ilvl="0">
      <w:startOverride w:val="1"/>
    </w:lvlOverride>
  </w:num>
  <w:num w:numId="48">
    <w:abstractNumId w:val="34"/>
    <w:lvlOverride w:ilvl="0">
      <w:startOverride w:val="1"/>
    </w:lvlOverride>
  </w:num>
  <w:num w:numId="49">
    <w:abstractNumId w:val="30"/>
    <w:lvlOverride w:ilvl="0">
      <w:startOverride w:val="1"/>
    </w:lvlOverride>
  </w:num>
  <w:num w:numId="50">
    <w:abstractNumId w:val="30"/>
    <w:lvlOverride w:ilvl="0">
      <w:startOverride w:val="1"/>
    </w:lvlOverride>
  </w:num>
  <w:num w:numId="51">
    <w:abstractNumId w:val="34"/>
    <w:lvlOverride w:ilvl="0">
      <w:startOverride w:val="1"/>
    </w:lvlOverride>
  </w:num>
  <w:num w:numId="52">
    <w:abstractNumId w:val="30"/>
    <w:lvlOverride w:ilvl="0">
      <w:startOverride w:val="1"/>
    </w:lvlOverride>
  </w:num>
  <w:num w:numId="53">
    <w:abstractNumId w:val="30"/>
    <w:lvlOverride w:ilvl="0">
      <w:startOverride w:val="1"/>
    </w:lvlOverride>
  </w:num>
  <w:num w:numId="54">
    <w:abstractNumId w:val="30"/>
    <w:lvlOverride w:ilvl="0">
      <w:startOverride w:val="1"/>
    </w:lvlOverride>
  </w:num>
  <w:num w:numId="55">
    <w:abstractNumId w:val="30"/>
    <w:lvlOverride w:ilvl="0">
      <w:startOverride w:val="1"/>
    </w:lvlOverride>
  </w:num>
  <w:num w:numId="56">
    <w:abstractNumId w:val="34"/>
    <w:lvlOverride w:ilvl="0">
      <w:startOverride w:val="1"/>
    </w:lvlOverride>
  </w:num>
  <w:num w:numId="57">
    <w:abstractNumId w:val="30"/>
    <w:lvlOverride w:ilvl="0">
      <w:startOverride w:val="1"/>
    </w:lvlOverride>
  </w:num>
  <w:num w:numId="58">
    <w:abstractNumId w:val="34"/>
    <w:lvlOverride w:ilvl="0">
      <w:startOverride w:val="1"/>
    </w:lvlOverride>
  </w:num>
  <w:num w:numId="59">
    <w:abstractNumId w:val="30"/>
    <w:lvlOverride w:ilvl="0">
      <w:startOverride w:val="1"/>
    </w:lvlOverride>
  </w:num>
  <w:num w:numId="60">
    <w:abstractNumId w:val="34"/>
    <w:lvlOverride w:ilvl="0">
      <w:startOverride w:val="1"/>
    </w:lvlOverride>
  </w:num>
  <w:num w:numId="61">
    <w:abstractNumId w:val="30"/>
    <w:lvlOverride w:ilvl="0">
      <w:startOverride w:val="1"/>
    </w:lvlOverride>
  </w:num>
  <w:num w:numId="62">
    <w:abstractNumId w:val="34"/>
    <w:lvlOverride w:ilvl="0">
      <w:startOverride w:val="1"/>
    </w:lvlOverride>
  </w:num>
  <w:num w:numId="63">
    <w:abstractNumId w:val="30"/>
    <w:lvlOverride w:ilvl="0">
      <w:startOverride w:val="1"/>
    </w:lvlOverride>
  </w:num>
  <w:num w:numId="64">
    <w:abstractNumId w:val="34"/>
    <w:lvlOverride w:ilvl="0">
      <w:startOverride w:val="1"/>
    </w:lvlOverride>
  </w:num>
  <w:num w:numId="65">
    <w:abstractNumId w:val="34"/>
    <w:lvlOverride w:ilvl="0">
      <w:startOverride w:val="1"/>
    </w:lvlOverride>
  </w:num>
  <w:num w:numId="66">
    <w:abstractNumId w:val="30"/>
    <w:lvlOverride w:ilvl="0">
      <w:startOverride w:val="1"/>
    </w:lvlOverride>
  </w:num>
  <w:num w:numId="67">
    <w:abstractNumId w:val="34"/>
    <w:lvlOverride w:ilvl="0">
      <w:startOverride w:val="1"/>
    </w:lvlOverride>
  </w:num>
  <w:num w:numId="68">
    <w:abstractNumId w:val="30"/>
    <w:lvlOverride w:ilvl="0">
      <w:startOverride w:val="1"/>
    </w:lvlOverride>
  </w:num>
  <w:num w:numId="69">
    <w:abstractNumId w:val="30"/>
    <w:lvlOverride w:ilvl="0">
      <w:startOverride w:val="1"/>
    </w:lvlOverride>
  </w:num>
  <w:num w:numId="70">
    <w:abstractNumId w:val="34"/>
    <w:lvlOverride w:ilvl="0">
      <w:startOverride w:val="1"/>
    </w:lvlOverride>
  </w:num>
  <w:num w:numId="71">
    <w:abstractNumId w:val="30"/>
    <w:lvlOverride w:ilvl="0">
      <w:startOverride w:val="1"/>
    </w:lvlOverride>
  </w:num>
  <w:num w:numId="72">
    <w:abstractNumId w:val="34"/>
    <w:lvlOverride w:ilvl="0">
      <w:startOverride w:val="1"/>
    </w:lvlOverride>
  </w:num>
  <w:num w:numId="73">
    <w:abstractNumId w:val="30"/>
    <w:lvlOverride w:ilvl="0">
      <w:startOverride w:val="1"/>
    </w:lvlOverride>
  </w:num>
  <w:num w:numId="74">
    <w:abstractNumId w:val="34"/>
    <w:lvlOverride w:ilvl="0">
      <w:startOverride w:val="1"/>
    </w:lvlOverride>
  </w:num>
  <w:num w:numId="75">
    <w:abstractNumId w:val="34"/>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