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product lines, programs, customers (OEM/tier relationships), and regulatory/quality require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acklog, program life cycles, and ramp/production cade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manufacturing footprint, capacity constraints, and supply chain dependenc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venue and gross margin trends by program, customer, and product lin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ontract structures (long-term agreements, pricing escalators, penalties/claims) and revenue recognition approach.</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ustomer concentration, order volatility, and backlog conversion assump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inventory/WIP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ong-cycle inventory, work-in-process, and slow-moving/obsolete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terial price variance, scrap/rework, and yiel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lead times and risk of shortag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valuation and reserv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apex requirements for tooling, equipment, and capacity expans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maintenance capex versus growth capex and related replacement cycl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capitalized development/tooling costs (if applicable) and impairment consid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