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key products and customer segments (deposit, lending, payments, wealth, etc.).</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balance sheet composition, funding sources, and interest rate sensitivity drivers.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regulatory environment and reporting requirements applicable to the business.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incremental banking-specific accounting policies and practices,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Fair value measurement policies for financial instruments and related valuation considerations;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credit loss provisioning methodology and key judgments;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for net interest margin (including effective interest treatment);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 placement/origination fees and capitalized commissions (including amortization approach);</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funding/transfer pricing allocation practices (if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Accounting treatment for securitization assets/liabilities and related derecognition considerations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operating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costs: headcount and staff compensation (salary, payroll tax, bonus, pensions, other benefits, key contractual terms), applicable personnel metrics, and any capitalization of such costs;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Stock options: impact of stock options and other non-cash incentive tools;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Commissions, finders' fees, securitization transaction costs, and related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Infrastructure and other technology direct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Research and development expenses and related capitalization;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Marketing and business development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Shared services cost allocations and description of services rendered, including allocation of costs within internal line-of-business management reporting,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General and administrative costs, including allocation of costs within internal line-of-business management reporting;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Fixed versus variable costs;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Balance Sheet</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historical balance sheet items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Mortgages, including mortgages under securitization and mortgages held for sale;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Securities;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Restricted assets;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Derivative assets;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Securitization assets and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Deposits by category;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Debt and debt-like items, including: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Attribution of debt between funding for operations versus corporate debt;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Off-balance sheet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collateralization obligations;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Repurchase agreement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Working capital profile including receivables, payables, and accruals;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Commitments and contingencies.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income streams by type,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Net interest income and margin - trends therein / evolution thereof, including: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Interest rate profile (fixed vs variable; differences by term / duration);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 features (variable/floating and fixed);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Changes in maturity profile (including extensions of amortization periods and impact on yields);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funding.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Non-interest income and non-interest margin - trends therein, key drivers, and one-time / non-cash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income (including fee income and commissions) - trends therein and noted one-time / non-cash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Loan Portfolio And Credit Quality</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analyze loan portfolio composition by product, geography, industry, and risk rating.</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delinquency, non-performing assets, charge-offs, recoveries, and vintage/loss trends.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concentrations (single-name, sector, geographic) and underwriting/credit policy changes over the Historical Period.</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Allowance For Credit Losses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allowance methodology, inputs, and model governance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qualitative overlays, management adjustments, and sensitivity to macro assumptions.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Reconcile allowance movements over time and assess coverage ratios versus peer/portfolio risk.</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Regulatory Capital And Liquidity</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regulatory capital metrics and drivers (risk-weighted assets, capital buffers) where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liquidity profile and stress testing framework where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the impact of off-balance sheet exposures and commitments on capital/liquidity.</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21"/>
    <w:lvlOverride w:ilvl="0">
      <w:startOverride w:val="1"/>
    </w:lvlOverride>
  </w:num>
  <w:num w:numId="48">
    <w:abstractNumId w:val="19"/>
    <w:lvlOverride w:ilvl="0">
      <w:startOverride w:val="1"/>
    </w:lvlOverride>
  </w:num>
  <w:num w:numId="49">
    <w:abstractNumId w:val="21"/>
    <w:lvlOverride w:ilvl="0">
      <w:startOverride w:val="1"/>
    </w:lvlOverride>
  </w:num>
  <w:num w:numId="50">
    <w:abstractNumId w:val="19"/>
    <w:lvlOverride w:ilvl="0">
      <w:startOverride w:val="1"/>
    </w:lvlOverride>
  </w:num>
  <w:num w:numId="51">
    <w:abstractNumId w:val="21"/>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21"/>
    <w:lvlOverride w:ilvl="0">
      <w:startOverride w:val="1"/>
    </w:lvlOverride>
  </w:num>
  <w:num w:numId="55">
    <w:abstractNumId w:val="21"/>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