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to obtain background information about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Services offered;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Trends in payor mix;</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 novo expansion;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Financing arrangements with patients,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Business risks and opportunities;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Information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healthcare-specific accounting profile considerations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Reporting methodology and management reporting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for cost allocations and shared services,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by service type and payor class, and any recent policy changes;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and non-recurring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potential adjustments identified regarding the profit and loss performance of Target in the form of a quality of earnings analysis, summarizing the risks that may impact EBITDA,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out of period revenue and expense (e.g., cash to accrual accounting impact);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 forma impacts for items such as recent de novo.</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center-level financial information, including key operating metrics, revenue, and EBITDA, and inquire about unusual trends or fluctuations over the historical period, including unusual or non-standard contracts.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and profitability over the historical period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Same-location and de novo center performance;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Center-based versus home-based mix;</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Procedure mix (including CPT-code-level analysis, where available);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Top patient and/or top payor concentration;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Changes in direct and indirect operating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Center-level expense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Corporate overhead allocations,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 novo start-up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Components of other income and expense that may impact EBITDA.</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Waterfall Revenue Analysis</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available, obtain patient/encounter-level detail from billing and collections systems to perform a claims-level revenue analysis reflecting net cash received on closed claims and estimated cash expected on open claims (based on historical reimbursement trends). Discuss with management: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Drivers of monthly/quarterly/annual net revenue trends by location, significant payor, and significant service code;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Reimbursement trends by payor, service, and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Pricing/volume trends by location, payor, and service;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Payor mix trends in total and by location;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Trends and drivers of fluctuation in the cash collection cycle;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cash collections reported in the billing system to third-party bank statements (on a sample basis);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Reconciliation of billing and collection information to financial statements.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Bridge revenue for changes in patient volumes, same-store/de novo/acquired facilities, and changes in direct and indirect operating expenses.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Behavior therapists (registered and unregistered) and board-certified behavior analysts: compensation, benefits, incentive compensation, and turnover.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Non-provider salaries, wages, and benefits, including incentive compensation.</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Owner compensation and benefits.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Treatment supplies, including key suppliers and purchasing terms.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Center-level costs and sub-leasing arrangements.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Insurance expense.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Selling, general, and administrative/corporate expenses.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Overhead allocations.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working capital on a monthly basis and inquire about historical trends, including seasonality, fluctuations in days revenue outstanding and days payable outstanding, working capital as a percent of trailing revenue, and other significant items.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inventory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inventory valuation methodology (e.g. standard costing);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vendor allowances, rebates, allowances and/or purchase commitments and related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Return to vendor provisions;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Inventory aging and estimated provision, if any (i.e. slow-moving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Other Assets</w:t>
      </w:r>
    </w:p>
    <w:p w14:paraId="74C0B111" w14:textId="67C74C26" w:rsidR="00A602E3" w:rsidRPr="00F27894" w:rsidRDefault="00A602E3" w:rsidP="00790C7E">
      <w:pPr>
        <w:pStyle w:val="BodyText"/>
        <w:numPr>
          <w:ilvl w:val="0"/>
          <w:numId w:val="6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summary of and comment on unusual items, significant fluctuations, and significant balances.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analysis by center and by payor.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Contractual allowances.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Allowance for doubtful accounts and write-offs.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Prior-period accounts receivable adjustments.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Self-pay and credit balances.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Collection experience.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reserves and adjustments.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accounts payable and accrued liabilities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terms of trade with major vendors, and days payable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 revenue;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Fixed-asset continuity schedules (including significant additions and disposals).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Under-utilized assets and impairment write-downs/issues.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Self-insurance;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Post-retirement benefits;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Incentive compensation plans;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Leases;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Pending or threatened litigation or investigations by regulatory or other authorities; and</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Other significant and/or unusual liabilities.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read, and discuss with management net debt and debt-like items, whether recorded on-balance sheet or off-balance sheet (for example: notes payable, capital vendor payables, deferred purchase price of property or services, accrued bonuses, and capital lease obligations), including expected future payout timing and amounts.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21"/>
    <w:lvlOverride w:ilvl="0">
      <w:startOverride w:val="1"/>
    </w:lvlOverride>
  </w:num>
  <w:num w:numId="45">
    <w:abstractNumId w:val="19"/>
    <w:lvlOverride w:ilvl="0">
      <w:startOverride w:val="1"/>
    </w:lvlOverride>
  </w:num>
  <w:num w:numId="46">
    <w:abstractNumId w:val="19"/>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21"/>
    <w:lvlOverride w:ilvl="0">
      <w:startOverride w:val="1"/>
    </w:lvlOverride>
  </w:num>
  <w:num w:numId="52">
    <w:abstractNumId w:val="19"/>
    <w:lvlOverride w:ilvl="0">
      <w:startOverride w:val="1"/>
    </w:lvlOverride>
  </w:num>
  <w:num w:numId="53">
    <w:abstractNumId w:val="19"/>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21"/>
    <w:lvlOverride w:ilvl="0">
      <w:startOverride w:val="1"/>
    </w:lvlOverride>
  </w:num>
  <w:num w:numId="59">
    <w:abstractNumId w:val="19"/>
    <w:lvlOverride w:ilvl="0">
      <w:startOverride w:val="1"/>
    </w:lvlOverride>
  </w:num>
  <w:num w:numId="60">
    <w:abstractNumId w:val="21"/>
    <w:lvlOverride w:ilvl="0">
      <w:startOverride w:val="1"/>
    </w:lvlOverride>
  </w:num>
  <w:num w:numId="61">
    <w:abstractNumId w:val="19"/>
    <w:lvlOverride w:ilvl="0">
      <w:startOverride w:val="1"/>
    </w:lvlOverride>
  </w:num>
  <w:num w:numId="62">
    <w:abstractNumId w:val="21"/>
    <w:lvlOverride w:ilvl="0">
      <w:startOverride w:val="1"/>
    </w:lvlOverride>
  </w:num>
  <w:num w:numId="63">
    <w:abstractNumId w:val="19"/>
    <w:lvlOverride w:ilvl="0">
      <w:startOverride w:val="1"/>
    </w:lvlOverride>
  </w:num>
  <w:num w:numId="64">
    <w:abstractNumId w:val="21"/>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19"/>
    <w:lvlOverride w:ilvl="0">
      <w:startOverride w:val="1"/>
    </w:lvlOverride>
  </w:num>
  <w:num w:numId="70">
    <w:abstractNumId w:val="21"/>
    <w:lvlOverride w:ilvl="0">
      <w:startOverride w:val="1"/>
    </w:lvlOverride>
  </w:num>
  <w:num w:numId="71">
    <w:abstractNumId w:val="19"/>
    <w:lvlOverride w:ilvl="0">
      <w:startOverride w:val="1"/>
    </w:lvlOverride>
  </w:num>
  <w:num w:numId="72">
    <w:abstractNumId w:val="21"/>
    <w:lvlOverride w:ilvl="0">
      <w:startOverride w:val="1"/>
    </w:lvlOverride>
  </w:num>
  <w:num w:numId="73">
    <w:abstractNumId w:val="19"/>
    <w:lvlOverride w:ilvl="0">
      <w:startOverride w:val="1"/>
    </w:lvlOverride>
  </w:num>
  <w:num w:numId="74">
    <w:abstractNumId w:val="21"/>
    <w:lvlOverride w:ilvl="0">
      <w:startOverride w:val="1"/>
    </w:lvlOverride>
  </w:num>
  <w:num w:numId="75">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