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{{EL_SIGNATORY_NAME}}</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{{LETTER_DATE}}</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{{CLIENT_LEGAL_NAME_FULL}}</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{{TARGET_DESCRIPTION}}</w:t>
      </w:r>
      <w:r w:rsidR="009A118E">
        <w:rPr>
          <w:rFonts w:asciiTheme="minorHAnsi" w:hAnsiTheme="minorHAnsi" w:cstheme="minorHAnsi"/>
          <w:sz w:val="20"/>
        </w:rPr>
        <w:t xml:space="preserve"> </w:t>
      </w:r>
      <w:r w:rsidR="00076631">
        <w:rPr>
          <w:rFonts w:asciiTheme="minorHAnsi" w:hAnsiTheme="minorHAnsi" w:cstheme="minorHAnsi"/>
          <w:sz w:val="20"/>
        </w:rPr>
        <w:t>{{TARGET_DEFINED_TERM}}</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{{DEAL_DESCRIPTION}}</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{{PROJECT_CODE_NAME}}</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{{CHOICE_CLIENT_OR_TARGET}}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{{CHOICE_CLIENT_OR_TARGET}}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{{CHOICE_CLIENT_OR_TARGET}}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{{CHOICE_REPORT_BRANDING}}</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{{PROJECT_CODE_NAME}}.</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{{CHOICE_REPORT_FORMAT}}</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{{CHOICE_CLIENT_OR_TARGET}}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{{CHOICE_CLIENT_OR_TARGET}}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{{PROJECT_CODE_NAME}}</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{{CLIENT_AND_OR_TARGET}}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{{CHOICE_CLIENT_OR_TARGET_POSSESSIVE_2}}</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{{CLIENT_AND_TARGET}}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{{CLIENT_OR_TARGET}}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{{CLIENT_OR_TARGET}}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{{CLIENT_OR_TARGET}}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25BB318B" w14:textId="77777777" w:rsidR="00054559" w:rsidRDefault="00000000">
      <w:r>
        <w:t>{{BLOCK_INDEPENDENCE_START}}</w:t>
      </w:r>
    </w:p>
    <w:p w14:paraId="429C7B80" w14:textId="77777777" w:rsidR="00BC1237" w:rsidRPr="00BC1237" w:rsidRDefault="00BC1237" w:rsidP="00D4208F">
      <w:pPr>
        <w:pStyle w:val="BodyText"/>
        <w:keepNext/>
        <w:spacing w:line="260" w:lineRule="exact"/>
        <w:jc w:val="both"/>
        <w:rPr>
          <w:rFonts w:asciiTheme="minorHAnsi" w:hAnsiTheme="minorHAnsi" w:cstheme="minorHAnsi"/>
          <w:b/>
          <w:bCs/>
          <w:sz w:val="20"/>
        </w:rPr>
      </w:pPr>
      <w:r w:rsidRPr="00BC1237">
        <w:rPr>
          <w:rFonts w:asciiTheme="minorHAnsi" w:hAnsiTheme="minorHAnsi" w:cstheme="minorHAnsi"/>
          <w:b/>
          <w:bCs/>
          <w:sz w:val="20"/>
        </w:rPr>
        <w:lastRenderedPageBreak/>
        <w:t>Independence Considerations</w:t>
      </w:r>
    </w:p>
    <w:p w14:paraId="083AB3BF" w14:textId="6CE15B76" w:rsidR="00BC1237" w:rsidRPr="00BC1237" w:rsidRDefault="00BC1237" w:rsidP="00D4208F">
      <w:pPr>
        <w:pStyle w:val="BodyText"/>
        <w:keepNext/>
        <w:spacing w:line="260" w:lineRule="exact"/>
        <w:jc w:val="both"/>
        <w:rPr>
          <w:rFonts w:asciiTheme="minorHAnsi" w:hAnsiTheme="minorHAnsi" w:cstheme="minorHAnsi"/>
          <w:sz w:val="20"/>
        </w:rPr>
      </w:pPr>
      <w:r w:rsidRPr="00BC1237">
        <w:rPr>
          <w:rFonts w:asciiTheme="minorHAnsi" w:hAnsiTheme="minorHAnsi" w:cstheme="minorHAnsi"/>
          <w:sz w:val="20"/>
        </w:rPr>
        <w:t xml:space="preserve">As you are aware, Client is </w:t>
      </w:r>
      <w:r w:rsidR="00076631">
        <w:rPr>
          <w:rFonts w:asciiTheme="minorHAnsi" w:hAnsiTheme="minorHAnsi" w:cstheme="minorHAnsi"/>
          <w:sz w:val="20"/>
        </w:rPr>
        <w:t>{{CHOICE_SEC_STATUS}}</w:t>
      </w:r>
      <w:r w:rsidRPr="00BC1237">
        <w:rPr>
          <w:rFonts w:asciiTheme="minorHAnsi" w:hAnsiTheme="minorHAnsi" w:cstheme="minorHAnsi"/>
          <w:sz w:val="20"/>
        </w:rPr>
        <w:t xml:space="preserve"> of KPMG. Therefore, the scope of our work is subject to certain limitations </w:t>
      </w:r>
      <w:proofErr w:type="gramStart"/>
      <w:r w:rsidRPr="00BC1237">
        <w:rPr>
          <w:rFonts w:asciiTheme="minorHAnsi" w:hAnsiTheme="minorHAnsi" w:cstheme="minorHAnsi"/>
          <w:sz w:val="20"/>
        </w:rPr>
        <w:t>in order to</w:t>
      </w:r>
      <w:proofErr w:type="gramEnd"/>
      <w:r w:rsidRPr="00BC1237">
        <w:rPr>
          <w:rFonts w:asciiTheme="minorHAnsi" w:hAnsiTheme="minorHAnsi" w:cstheme="minorHAnsi"/>
          <w:sz w:val="20"/>
        </w:rPr>
        <w:t xml:space="preserve"> maintain our independence.</w:t>
      </w:r>
    </w:p>
    <w:p w14:paraId="4F0E5C7C" w14:textId="4393DE34" w:rsidR="00BC1237" w:rsidRPr="00BC1237" w:rsidRDefault="00BC1237" w:rsidP="00BC1237">
      <w:pPr>
        <w:pStyle w:val="BodyText"/>
        <w:spacing w:line="260" w:lineRule="exact"/>
        <w:jc w:val="both"/>
        <w:rPr>
          <w:rFonts w:asciiTheme="minorHAnsi" w:hAnsiTheme="minorHAnsi" w:cstheme="minorHAnsi"/>
          <w:sz w:val="20"/>
        </w:rPr>
      </w:pPr>
      <w:r w:rsidRPr="00BC1237">
        <w:rPr>
          <w:rFonts w:asciiTheme="minorHAnsi" w:hAnsiTheme="minorHAnsi" w:cstheme="minorHAnsi"/>
          <w:sz w:val="20"/>
        </w:rPr>
        <w:t xml:space="preserve">Our reporting will present our objective analysis and commentary based upon the information obtained and will not provide assurance on any projected financial information you may prepare with respect to </w:t>
      </w:r>
      <w:r w:rsidR="00076631">
        <w:rPr>
          <w:rFonts w:asciiTheme="minorHAnsi" w:hAnsiTheme="minorHAnsi" w:cstheme="minorHAnsi"/>
          <w:sz w:val="20"/>
        </w:rPr>
        <w:t>{{CHOICE_CLIENT_OR_TARGET}}</w:t>
      </w:r>
      <w:r w:rsidRPr="00BC1237">
        <w:rPr>
          <w:rFonts w:asciiTheme="minorHAnsi" w:hAnsiTheme="minorHAnsi" w:cstheme="minorHAnsi"/>
          <w:sz w:val="20"/>
        </w:rPr>
        <w:t>.</w:t>
      </w:r>
    </w:p>
    <w:p w14:paraId="74FEE06D" w14:textId="0D9FBB73" w:rsidR="00BC1237" w:rsidRPr="00BC1237" w:rsidRDefault="00BC1237" w:rsidP="00BC1237">
      <w:pPr>
        <w:pStyle w:val="BodyText"/>
        <w:spacing w:line="260" w:lineRule="exact"/>
        <w:jc w:val="both"/>
        <w:rPr>
          <w:rFonts w:asciiTheme="minorHAnsi" w:hAnsiTheme="minorHAnsi" w:cstheme="minorHAnsi"/>
          <w:sz w:val="20"/>
        </w:rPr>
      </w:pPr>
      <w:r w:rsidRPr="00BC1237">
        <w:rPr>
          <w:rFonts w:asciiTheme="minorHAnsi" w:hAnsiTheme="minorHAnsi" w:cstheme="minorHAnsi"/>
          <w:sz w:val="20"/>
        </w:rPr>
        <w:t xml:space="preserve">Based upon the nature of our work (and limitations with respect to maintaining our independence), our work will not extend to facilitating or leading your Project </w:t>
      </w:r>
      <w:r w:rsidR="00076631">
        <w:rPr>
          <w:rFonts w:asciiTheme="minorHAnsi" w:hAnsiTheme="minorHAnsi" w:cstheme="minorHAnsi"/>
          <w:sz w:val="20"/>
        </w:rPr>
        <w:t>{{PROJECT_CODE_NAME}}</w:t>
      </w:r>
      <w:r w:rsidRPr="00BC1237">
        <w:rPr>
          <w:rFonts w:asciiTheme="minorHAnsi" w:hAnsiTheme="minorHAnsi" w:cstheme="minorHAnsi"/>
          <w:sz w:val="20"/>
        </w:rPr>
        <w:t xml:space="preserve"> meetings or workshops, nor will we assist you in preparing</w:t>
      </w:r>
      <w:r w:rsidR="00EB0713">
        <w:rPr>
          <w:rFonts w:asciiTheme="minorHAnsi" w:hAnsiTheme="minorHAnsi" w:cstheme="minorHAnsi"/>
          <w:sz w:val="20"/>
        </w:rPr>
        <w:t xml:space="preserve"> </w:t>
      </w:r>
      <w:r w:rsidR="00076631">
        <w:rPr>
          <w:rFonts w:asciiTheme="minorHAnsi" w:hAnsiTheme="minorHAnsi" w:cstheme="minorHAnsi"/>
          <w:sz w:val="20"/>
        </w:rPr>
        <w:t>{{CHOICE_CLIENT_OR_TARGET_POSSESSIVE}}</w:t>
      </w:r>
      <w:r w:rsidRPr="00BC1237">
        <w:rPr>
          <w:rFonts w:asciiTheme="minorHAnsi" w:hAnsiTheme="minorHAnsi" w:cstheme="minorHAnsi"/>
          <w:sz w:val="20"/>
        </w:rPr>
        <w:t xml:space="preserve"> financial model or any projected financial information in connection with this engagement.</w:t>
      </w:r>
    </w:p>
    <w:p w14:paraId="0A5CC060" w14:textId="0BA40CE2" w:rsidR="00BF5289" w:rsidRDefault="00076631" w:rsidP="00F007C6">
      <w:pPr>
        <w:pStyle w:val="BodyText"/>
        <w:spacing w:line="260" w:lineRule="exact"/>
        <w:jc w:val="both"/>
        <w:rPr>
          <w:rFonts w:asciiTheme="minorHAnsi" w:hAnsiTheme="minorHAnsi" w:cstheme="minorHAnsi"/>
          <w:i/>
          <w:iCs/>
          <w:color w:val="FF0000"/>
          <w:sz w:val="20"/>
          <w:highlight w:val="yellow"/>
        </w:rPr>
      </w:pPr>
      <w:r>
        <w:rPr>
          <w:rFonts w:asciiTheme="minorHAnsi" w:hAnsiTheme="minorHAnsi" w:cstheme="minorHAnsi"/>
          <w:i/>
          <w:iCs/>
          <w:color w:val="FF0000"/>
          <w:sz w:val="20"/>
          <w:highlight w:val="yellow"/>
        </w:rPr>
        <w:t>[GUIDANCE: the following section is mandatory for all clients. It may not be deleted and is key to have in our sell-side diligence contracts with clients.]</w:t>
      </w:r>
    </w:p>
    <w:p w14:paraId="19685F51" w14:textId="77777777" w:rsidR="00054559" w:rsidRDefault="00000000">
      <w:r>
        <w:t>{{BLOCK_INDEPENDENCE_END}}</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{{PROJECT_CODE_NAME}} and to address issues as they arise. The individual must have the skills, experience, and knowledge of {{CHOICE_CLIENT_OR_TARGET_POSSESSIVE}} business necessary to effectively perform this function. We understand that {{EL_SIGNATORY_NAME}}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{{PROJECT_CODE_NAME}}</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{{PROJECT_CODE_NAME}}</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{{DATE_COMMENCE}}</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{{DATE_DRAFT_DELIVERY}}</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{{TEAM_PARTNER_NAME}}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{{TEAM_SENIOR_MANAGER_NAME}}</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{{FEE_DISCOUNT_CLAUSE</w:t>
      </w:r>
      <w:proofErr w:type="gramStart"/>
      <w:r w:rsidR="00076631">
        <w:rPr>
          <w:rFonts w:asciiTheme="minorHAnsi" w:hAnsiTheme="minorHAnsi" w:cstheme="minorHAnsi"/>
          <w:sz w:val="20"/>
        </w:rPr>
        <w:t>}}</w:t>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{{FEE_DISCOUNT_PERCENT</w:t>
      </w:r>
      <w:proofErr w:type="gramStart"/>
      <w:r w:rsidR="00076631">
        <w:rPr>
          <w:rFonts w:asciiTheme="minorHAnsi" w:hAnsiTheme="minorHAnsi" w:cstheme="minorHAnsi"/>
          <w:sz w:val="20"/>
        </w:rPr>
        <w:t>}}</w:t>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{{FEE_FDD_RANGE}}</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{{FEE_UPDATE_AMOUNT}}</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{{BILLING_ENTITY_NAME}}</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{{FEE_INVOICE_AMOUNT}}</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{{FEE_INVOICE_AMOUNT}}</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{{EXISTING_SERVICES_DESCRIPTION}}</w:t>
      </w:r>
      <w:r w:rsidRPr="008E3375">
        <w:rPr>
          <w:rFonts w:asciiTheme="minorHAnsi" w:hAnsiTheme="minorHAnsi" w:cstheme="minorHAnsi"/>
          <w:sz w:val="20"/>
        </w:rPr>
        <w:t xml:space="preserve"> to </w:t>
      </w:r>
      <w:r w:rsidR="00076631">
        <w:rPr>
          <w:rFonts w:asciiTheme="minorHAnsi" w:hAnsiTheme="minorHAnsi" w:cstheme="minorHAnsi"/>
          <w:sz w:val="20"/>
        </w:rPr>
        <w:t>{{BIDDER_NAME}}</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{{EXISTING_SERVICES_CAVEAT}}</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{{CLIENT_AND_BIDDER}}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{{CONFIDENTIALITY_PROCEDURES}}</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{{CLIENT_AND_BIDDER}}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{{INDEMNITY_EXCLUSION}}</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{{CLIENT_AND_BIDDER}}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{{SIGNING_PARTNER_NAME}}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{{SIGNING_PARTNER_NAME}}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{{CLIENT_LEGAL_NAME_ACCEPTANCE}}</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{{CLIENT_LEGAL_NAME_ACCEPTANCE}}</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the Company's officers and management in order to develop an understanding of the Company,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History, organization structure, proposed transaction perimeter and management reporting relationships;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Start-up costs, capital expenditures, and status of operations in significant sites/geographies.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Production sites/ lines capacity, utilization rates;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Details of pricing methodology; key contractual terms with key customers (incl. ability to pass cost increases to customers);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Range of suppliers, significant dependencies; key contractual terms; price volatility for key materials; inventory levels and turnover;</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Range of customer segments, customer concentration and regions served;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Key performance metrics used by the Company's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Employees compensation and benefits by major categories;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Financial reporting framework and information systems; monthly/annual cut-off process;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Key accounting policies including: revenue recognition, inventory valuation methodologies, costing methodology, warranties, provisions, management estimates,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available information and discuss with Target management in order to develop an understanding of Target,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Inter-group operations and allocation of corporate overheads;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Production lines capacity, utilization, scrap rates;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Range of products and services; degree of customization; pricing methodology (including volume discounts/ rebates); key contractual terms (incl. ability to pass cost increases to customers);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Research activities and new product development initiatives;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Range of suppliers, significant dependencies; key contractual terms; price volatility for key raw materials (resin,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Marketing and distribution channels;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Key performance metrics used by Target's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Financial reporting framework and information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Key accounting policies including: revenue recognition, inventory valuation methodologies, costing methodology, sales returns, rebates, provisions, management estimates,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background information of Target,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Organizational structure, ownership and management reporting relationships;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Range of products, customer segments and regions served;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Financial reporting and information systems (including process,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them with Target's management to gain an understanding of accounting policies and practices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Reporting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Frequency of standard cost updates and procedures for analyzing variances;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Recent or contemplated changes in accounting principles.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potential adjustments to reported earnings before interest, income taxes, depreciation, and amortization (EBITDA) by considering the impact of:</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acquisitions (for example: acquired businesses);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supply chain disruptions,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research and development expenditures and 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timing of true-ups and other adjustments made less frequently than monthly;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commodity/raw material cost fluctuations and any associated hedging programs;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key supplier cost arrangements, including assessment of hedged versus market prices and illustrative impacts to EBITDA;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lease renewal.</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margin by significant customer, channel, and/or market segment, as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Price, volume, and mix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with management key drivers of revenue and margin over the Historical Period,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Major customer/contract wins or losses and timing impacts;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Non-recurring items affecting period results;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Operational, market, or seasonal factors affecting demand and fulfillment.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an analysis of revenue quality and related balances,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and any recent changes;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Billing and collection terms, including significant deviations from standard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Credits, rebates, returns, and other contra-revenue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Concentration/dependency risk;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unusual items affecting reported revenue or gross margin.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Revenue and gross-margin trends by plant, product category/SKU, customer, and channel, including concentration and mix effects.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Price-volume-mix and input-cost pass-through dynamics, including major raw-material and freight impacts on margins.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sale trends, impact of material change in vendors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compensation and related costs by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Repairs and maintenance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Compensation and benefits analysis by function (including headcount, incentive compensation, and key labor-cost drivers).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Occupancy, logistics, and manufacturing support cost trends.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Research and development and product quality/safety costs, including capitalization impacts where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Selling, general, and administrative cost profile, including fixed-versus-variable cost behavior.</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monthly details of the Company's consolidated working capital and analyze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metrics, and seasonality;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Payroll-related funding and cash timing impacts relevant to working capital normalization and peg setting.</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Inventory</w:t>
      </w:r>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Inventory composition and turnover by major product/category group.</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Aging profile, slow-moving/excess/obsolete exposure, and reserve methodology.</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Vendor allowances/rebates and purchasing practices that affect inventory valuation and margins.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Prepaids</w:t>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Composition and trend analysis of significant prepaid balances.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Timing of cash outflows versus expense recognition for material prepaid categories.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74C0B111" w14:textId="67C74C26" w:rsidR="00A602E3" w:rsidRPr="00F27894" w:rsidRDefault="00A602E3" w:rsidP="00790C7E">
      <w:pPr>
        <w:pStyle w:val="BodyText"/>
        <w:numPr>
          <w:ilvl w:val="0"/>
          <w:numId w:val="6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accounts receivable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Billed/unbilled aging analysis, turnover and days sales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and non-trade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payable and accrued liabilities</w:t>
      </w:r>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accrued liabilities and customer deposits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and days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settlement terms;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Accrued liabilities profile (including payroll, bonuses/incentives, and other significant operating accruals).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Fixed-asset continuity and significant additions/disposals.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Near-term required capex and deferred capex backlog, where applicable.</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Earn-out obligations and other contingent consideration from historical acquisitions, where applicable.</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Related Parties</w:t>
      </w:r>
    </w:p>
    <w:p w14:paraId="74C0B111" w14:textId="67C74C26" w:rsidR="00A602E3" w:rsidRPr="00F27894" w:rsidRDefault="00A602E3" w:rsidP="00790C7E">
      <w:pPr>
        <w:pStyle w:val="BodyText"/>
        <w:numPr>
          <w:ilvl w:val="0"/>
          <w:numId w:val="7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and summarize related party transactions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7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Nature and extent of related party transactions;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pricing for arrangements with related parties.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7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7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{{CLIENT_CONTACT_NAME_TITLE}}</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{{CLIENT_COUNTRY_2}}</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{{FAL_DATE}}</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{{CLIENT_CONTACT_NAME}}</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{{PROJECT_CODE_NAME}}</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{{THIRD_PARTY_LEGAL_NAME}}</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{{SIGNING_PARTNER_NAME_2}}</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{{CLIENT_LEGAL_NAME}}</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{{RECIPIENT_SIGNATORY_NAME}}</w:t>
      </w:r>
    </w:p>
    <w:p w14:paraId="640BC790" w14:textId="22C29F49" w:rsidR="00D62D05" w:rsidRPr="00727A4C" w:rsidRDefault="00076631" w:rsidP="00D62D05">
      <w:pPr>
        <w:spacing w:line="260" w:lineRule="atLeast"/>
        <w:ind w:right="360"/>
        <w:jc w:val="both"/>
        <w:rPr>
          <w:rFonts w:cs="Arial"/>
          <w:sz w:val="20"/>
        </w:rPr>
      </w:pPr>
      <w:r>
        <w:rPr>
          <w:rFonts w:cs="Arial"/>
          <w:sz w:val="20"/>
        </w:rPr>
        <w:t>{{RECIPIENT_LEGAL_NAME}}</w:t>
      </w:r>
    </w:p>
    <w:p w14:paraId="32F3BF72" w14:textId="12915AC4" w:rsidR="00D62D05" w:rsidRPr="00727A4C" w:rsidRDefault="00076631" w:rsidP="00D62D05">
      <w:pPr>
        <w:spacing w:line="260" w:lineRule="atLeast"/>
        <w:ind w:right="360"/>
        <w:jc w:val="both"/>
        <w:rPr>
          <w:rFonts w:cs="Arial"/>
          <w:sz w:val="20"/>
        </w:rPr>
      </w:pPr>
      <w:r>
        <w:rPr>
          <w:rFonts w:cs="Arial"/>
          <w:sz w:val="20"/>
        </w:rPr>
        <w:t>{{CLIENT_ADDRESS_LINE_1}}</w:t>
      </w:r>
    </w:p>
    <w:p w14:paraId="4C0453FA" w14:textId="424B31C5" w:rsidR="00D62D05" w:rsidRPr="00727A4C" w:rsidRDefault="00076631" w:rsidP="00D62D05">
      <w:pPr>
        <w:spacing w:line="260" w:lineRule="atLeast"/>
        <w:ind w:right="360"/>
        <w:jc w:val="both"/>
        <w:rPr>
          <w:rFonts w:cs="Arial"/>
          <w:sz w:val="20"/>
        </w:rPr>
      </w:pPr>
      <w:r>
        <w:rPr>
          <w:rFonts w:cs="Arial"/>
          <w:sz w:val="20"/>
        </w:rPr>
        <w:t>{{CLIENT_ADDRESS_LINE_2}}</w:t>
      </w:r>
    </w:p>
    <w:p w14:paraId="5D16764F" w14:textId="634A1E05" w:rsidR="00D62D05" w:rsidRDefault="00076631" w:rsidP="00D62D05">
      <w:pPr>
        <w:spacing w:line="260" w:lineRule="atLeast"/>
        <w:ind w:right="360"/>
        <w:jc w:val="both"/>
        <w:rPr>
          <w:rFonts w:cs="Arial"/>
          <w:sz w:val="20"/>
        </w:rPr>
      </w:pPr>
      <w:r>
        <w:rPr>
          <w:rFonts w:cs="Arial"/>
          <w:sz w:val="20"/>
        </w:rPr>
        <w:t>{{CLIENT_ADDRESS_LINE_3}}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{{RELEASE_DATE}}</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{{PROJECT_CODE_NAME}}</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{{CLIENT_LEGAL_NAME_FULL}}</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{{PROJECT_CODE_NAME}}</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{{SIGNING_PARTNER_NAME_2}}</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{{RECIPIENT_LEGAL_NAME}}</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{{FAL_LETTER_DATE}}</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{{FAL_ADDRESS}}</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{{SIGNING_PARTNER_NAME}}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{{CHOICE_CLIENT_OR_TARGET}}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{{CHOICE_CLIENT_OR_TARGET}}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{{FAL_OTHER_REPRESENTATIONS}}</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{{CLIENT_NAME_SHORT}}</w:t>
    </w:r>
  </w:p>
  <w:p w14:paraId="198CD1F2" w14:textId="025154CE" w:rsidR="00106DAC" w:rsidRDefault="00076631" w:rsidP="00D007CC">
    <w:pPr>
      <w:pStyle w:val="Header"/>
      <w:jc w:val="right"/>
    </w:pPr>
    <w:r>
      <w:t>{{PROJECT_NAME_HEADER}}</w:t>
    </w:r>
  </w:p>
  <w:p w14:paraId="425D002E" w14:textId="7CFE8FA3" w:rsidR="00106DAC" w:rsidRDefault="00076631" w:rsidP="00D007CC">
    <w:pPr>
      <w:pStyle w:val="Header"/>
      <w:jc w:val="right"/>
    </w:pPr>
    <w:r>
      <w:t>{{LETTER_DATE}}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19"/>
    <w:lvlOverride w:ilvl="0">
      <w:startOverride w:val="1"/>
    </w:lvlOverride>
  </w:num>
  <w:num w:numId="44">
    <w:abstractNumId w:val="19"/>
    <w:lvlOverride w:ilvl="0">
      <w:startOverride w:val="1"/>
    </w:lvlOverride>
  </w:num>
  <w:num w:numId="45">
    <w:abstractNumId w:val="19"/>
    <w:lvlOverride w:ilvl="0">
      <w:startOverride w:val="1"/>
    </w:lvlOverride>
  </w:num>
  <w:num w:numId="46">
    <w:abstractNumId w:val="21"/>
    <w:lvlOverride w:ilvl="0">
      <w:startOverride w:val="1"/>
    </w:lvlOverride>
  </w:num>
  <w:num w:numId="47">
    <w:abstractNumId w:val="19"/>
    <w:lvlOverride w:ilvl="0">
      <w:startOverride w:val="1"/>
    </w:lvlOverride>
  </w:num>
  <w:num w:numId="48">
    <w:abstractNumId w:val="19"/>
    <w:lvlOverride w:ilvl="0">
      <w:startOverride w:val="1"/>
    </w:lvlOverride>
  </w:num>
  <w:num w:numId="49">
    <w:abstractNumId w:val="19"/>
    <w:lvlOverride w:ilvl="0">
      <w:startOverride w:val="1"/>
    </w:lvlOverride>
  </w:num>
  <w:num w:numId="50">
    <w:abstractNumId w:val="21"/>
    <w:lvlOverride w:ilvl="0">
      <w:startOverride w:val="1"/>
    </w:lvlOverride>
  </w:num>
  <w:num w:numId="51">
    <w:abstractNumId w:val="19"/>
    <w:lvlOverride w:ilvl="0">
      <w:startOverride w:val="1"/>
    </w:lvlOverride>
  </w:num>
  <w:num w:numId="52">
    <w:abstractNumId w:val="19"/>
    <w:lvlOverride w:ilvl="0">
      <w:startOverride w:val="1"/>
    </w:lvlOverride>
  </w:num>
  <w:num w:numId="53">
    <w:abstractNumId w:val="21"/>
    <w:lvlOverride w:ilvl="0">
      <w:startOverride w:val="1"/>
    </w:lvlOverride>
  </w:num>
  <w:num w:numId="54">
    <w:abstractNumId w:val="19"/>
    <w:lvlOverride w:ilvl="0">
      <w:startOverride w:val="1"/>
    </w:lvlOverride>
  </w:num>
  <w:num w:numId="55">
    <w:abstractNumId w:val="19"/>
    <w:lvlOverride w:ilvl="0">
      <w:startOverride w:val="1"/>
    </w:lvlOverride>
  </w:num>
  <w:num w:numId="56">
    <w:abstractNumId w:val="19"/>
    <w:lvlOverride w:ilvl="0">
      <w:startOverride w:val="1"/>
    </w:lvlOverride>
  </w:num>
  <w:num w:numId="57">
    <w:abstractNumId w:val="21"/>
    <w:lvlOverride w:ilvl="0">
      <w:startOverride w:val="1"/>
    </w:lvlOverride>
  </w:num>
  <w:num w:numId="58">
    <w:abstractNumId w:val="19"/>
    <w:lvlOverride w:ilvl="0">
      <w:startOverride w:val="1"/>
    </w:lvlOverride>
  </w:num>
  <w:num w:numId="59">
    <w:abstractNumId w:val="21"/>
    <w:lvlOverride w:ilvl="0">
      <w:startOverride w:val="1"/>
    </w:lvlOverride>
  </w:num>
  <w:num w:numId="60">
    <w:abstractNumId w:val="19"/>
    <w:lvlOverride w:ilvl="0">
      <w:startOverride w:val="1"/>
    </w:lvlOverride>
  </w:num>
  <w:num w:numId="61">
    <w:abstractNumId w:val="21"/>
    <w:lvlOverride w:ilvl="0">
      <w:startOverride w:val="1"/>
    </w:lvlOverride>
  </w:num>
  <w:num w:numId="62">
    <w:abstractNumId w:val="21"/>
    <w:lvlOverride w:ilvl="0">
      <w:startOverride w:val="1"/>
    </w:lvlOverride>
  </w:num>
  <w:num w:numId="63">
    <w:abstractNumId w:val="21"/>
    <w:lvlOverride w:ilvl="0">
      <w:startOverride w:val="1"/>
    </w:lvlOverride>
  </w:num>
  <w:num w:numId="64">
    <w:abstractNumId w:val="19"/>
    <w:lvlOverride w:ilvl="0">
      <w:startOverride w:val="1"/>
    </w:lvlOverride>
  </w:num>
  <w:num w:numId="65">
    <w:abstractNumId w:val="21"/>
    <w:lvlOverride w:ilvl="0">
      <w:startOverride w:val="1"/>
    </w:lvlOverride>
  </w:num>
  <w:num w:numId="66">
    <w:abstractNumId w:val="19"/>
    <w:lvlOverride w:ilvl="0">
      <w:startOverride w:val="1"/>
    </w:lvlOverride>
  </w:num>
  <w:num w:numId="67">
    <w:abstractNumId w:val="21"/>
    <w:lvlOverride w:ilvl="0">
      <w:startOverride w:val="1"/>
    </w:lvlOverride>
  </w:num>
  <w:num w:numId="68">
    <w:abstractNumId w:val="19"/>
    <w:lvlOverride w:ilvl="0">
      <w:startOverride w:val="1"/>
    </w:lvlOverride>
  </w:num>
  <w:num w:numId="69">
    <w:abstractNumId w:val="21"/>
    <w:lvlOverride w:ilvl="0">
      <w:startOverride w:val="1"/>
    </w:lvlOverride>
  </w:num>
  <w:num w:numId="70">
    <w:abstractNumId w:val="19"/>
    <w:lvlOverride w:ilvl="0">
      <w:startOverride w:val="1"/>
    </w:lvlOverride>
  </w:num>
  <w:num w:numId="71">
    <w:abstractNumId w:val="21"/>
    <w:lvlOverride w:ilvl="0">
      <w:startOverride w:val="1"/>
    </w:lvlOverride>
  </w:num>
  <w:num w:numId="72">
    <w:abstractNumId w:val="19"/>
    <w:lvlOverride w:ilvl="0">
      <w:startOverride w:val="1"/>
    </w:lvlOverride>
  </w:num>
  <w:num w:numId="73">
    <w:abstractNumId w:val="21"/>
    <w:lvlOverride w:ilvl="0">
      <w:startOverride w:val="1"/>
    </w:lvlOverride>
  </w:num>
  <w:num w:numId="74">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