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the Company's officers and management in order to develop an understanding of the Company, including its: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History, organization structure, proposed transaction perimeter and management reporting relationships;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Start-up costs, capital expenditures, and status of operations in significant sites/geographies.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transactions;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Production sites/ lines capacity, utilization rates;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Details of pricing methodology; key contractual terms with key customers (incl. ability to pass cost increases to customers);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suppliers, significant dependencies; key contractual terms; price volatility for key materials; inventory levels and turnover;</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customer segments, customer concentration and regions served;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Key performance metrics used by the Company's management;</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Employees compensation and benefits by major categories;</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Financial reporting framework and information systems; monthly/annual cut-off process; and</w:t>
      </w:r>
    </w:p>
    <w:p w14:paraId="45E4FF87" w14:textId="77777777" w:rsidR="003C4524" w:rsidRPr="00FF7051" w:rsidRDefault="003C4524" w:rsidP="00783715">
      <w:pPr>
        <w:pStyle w:val="BodyText"/>
        <w:numPr>
          <w:ilvl w:val="0"/>
          <w:numId w:val="4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Key accounting policies including: revenue recognition, inventory valuation methodologies, costing methodology, warranties, provisions, management estimates, etc.</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available information and discuss with Target management in order to develop an understanding of Target, including its: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Inter-group operations and allocation of corporate overheads;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Production lines capacity, utilization, scrap rates;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products and services; degree of customization; pricing methodology (including volume discounts/ rebates); key contractual terms (incl. ability to pass cost increases to customers);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Research activities and new product development initiatives;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suppliers, significant dependencies; key contractual terms; price volatility for key raw materials (resin, etc.);</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Marketing and distribution channels;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Key performance metrics used by Target's management;</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Financial reporting framework and information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Key accounting policies including: revenue recognition, inventory valuation methodologies, costing methodology, sales returns, rebates, provisions, management estimates, etc.</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background information of Target, including its: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Organizational structure, ownership and management reporting relationships;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Range of products, customer segments and regions served;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Financial reporting and information systems (including process, timing, structure of financial reporting, and interaction with the information/accounting systems).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them with Target's management to gain an understanding of accounting policies and practices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Reporting methodology;</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Frequency of standard cost updates and procedures for analyzing variances;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Recent or contemplated changes in accounting principles.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potential adjustments to reported earnings before interest, income taxes, depreciation, and amortization (EBITDA) by considering the impact of:</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acquisitions (for example: acquired businesses);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supply chain disruptions, if any;</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research and development expenditures and capitalization policies;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timing of true-ups and other adjustments made less frequently than monthly;</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commodity/raw material cost fluctuations and any associated hedging programs;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key supplier cost arrangements, including assessment of hedged versus market prices and illustrative impacts to EBITDA;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lease renewal.</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Revenue and gross-margin trends by plant, product category/SKU, customer, and channel, including concentration and mix effects.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Price-volume-mix and input-cost pass-through dynamics, including major raw-material and freight impacts on margins.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Compensation and benefits analysis by function (including headcount, incentive compensation, and key labor-cost drivers).</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Occupancy, logistics, and manufacturing support cost trends.</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Research and development and product quality/safety costs, including capitalization impacts where applicable.</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Selling, general, and administrative cost profile, including fixed-versus-variable cost behavior.</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Payroll-related funding and cash timing impacts relevant to working capital normalization and peg setting.</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Inventory composition and turnover by major product/category group.</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Aging profile, slow-moving/excess/obsolete exposure, and reserve methodology.</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Vendor allowances/rebates and purchasing practices that affect inventory valuation and margins.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Prepaids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Composition and trend analysis of significant prepaid balances.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Timing of cash outflows versus expense recognition for material prepaid categories.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Accrued liabilities profile (including payroll, bonuses/incentives, and other significant operating accruals).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Fixed-asset continuity and significant additions/disposals.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Near-term required capex and deferred capex backlog,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7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Earn-out obligations and other contingent consideration from historical acquisitions,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Related Parties</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and summarize related party transactions including:</w:t>
      </w:r>
    </w:p>
    <w:p w14:paraId="45E4FF87" w14:textId="77777777" w:rsidR="003C4524" w:rsidRPr="00FF7051" w:rsidRDefault="003C4524" w:rsidP="00783715">
      <w:pPr>
        <w:pStyle w:val="BodyText"/>
        <w:numPr>
          <w:ilvl w:val="0"/>
          <w:numId w:val="7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Nature and extent of related party transactions; and</w:t>
      </w:r>
    </w:p>
    <w:p w14:paraId="45E4FF87" w14:textId="77777777" w:rsidR="003C4524" w:rsidRPr="00FF7051" w:rsidRDefault="003C4524" w:rsidP="00783715">
      <w:pPr>
        <w:pStyle w:val="BodyText"/>
        <w:numPr>
          <w:ilvl w:val="0"/>
          <w:numId w:val="7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pricing for arrangements with related parties.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4"/>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0"/>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0"/>
    <w:lvlOverride w:ilvl="0">
      <w:startOverride w:val="1"/>
    </w:lvlOverride>
  </w:num>
  <w:num w:numId="49">
    <w:abstractNumId w:val="30"/>
    <w:lvlOverride w:ilvl="0">
      <w:startOverride w:val="1"/>
    </w:lvlOverride>
  </w:num>
  <w:num w:numId="50">
    <w:abstractNumId w:val="34"/>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4"/>
    <w:lvlOverride w:ilvl="0">
      <w:startOverride w:val="1"/>
    </w:lvlOverride>
  </w:num>
  <w:num w:numId="54">
    <w:abstractNumId w:val="30"/>
    <w:lvlOverride w:ilvl="0">
      <w:startOverride w:val="1"/>
    </w:lvlOverride>
  </w:num>
  <w:num w:numId="55">
    <w:abstractNumId w:val="30"/>
    <w:lvlOverride w:ilvl="0">
      <w:startOverride w:val="1"/>
    </w:lvlOverride>
  </w:num>
  <w:num w:numId="56">
    <w:abstractNumId w:val="30"/>
    <w:lvlOverride w:ilvl="0">
      <w:startOverride w:val="1"/>
    </w:lvlOverride>
  </w:num>
  <w:num w:numId="57">
    <w:abstractNumId w:val="34"/>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4"/>
    <w:lvlOverride w:ilvl="0">
      <w:startOverride w:val="1"/>
    </w:lvlOverride>
  </w:num>
  <w:num w:numId="63">
    <w:abstractNumId w:val="34"/>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0"/>
    <w:lvlOverride w:ilvl="0">
      <w:startOverride w:val="1"/>
    </w:lvlOverride>
  </w:num>
  <w:num w:numId="67">
    <w:abstractNumId w:val="34"/>
    <w:lvlOverride w:ilvl="0">
      <w:startOverride w:val="1"/>
    </w:lvlOverride>
  </w:num>
  <w:num w:numId="68">
    <w:abstractNumId w:val="30"/>
    <w:lvlOverride w:ilvl="0">
      <w:startOverride w:val="1"/>
    </w:lvlOverride>
  </w:num>
  <w:num w:numId="69">
    <w:abstractNumId w:val="34"/>
    <w:lvlOverride w:ilvl="0">
      <w:startOverride w:val="1"/>
    </w:lvlOverride>
  </w:num>
  <w:num w:numId="70">
    <w:abstractNumId w:val="30"/>
    <w:lvlOverride w:ilvl="0">
      <w:startOverride w:val="1"/>
    </w:lvlOverride>
  </w:num>
  <w:num w:numId="71">
    <w:abstractNumId w:val="34"/>
    <w:lvlOverride w:ilvl="0">
      <w:startOverride w:val="1"/>
    </w:lvlOverride>
  </w:num>
  <w:num w:numId="72">
    <w:abstractNumId w:val="30"/>
    <w:lvlOverride w:ilvl="0">
      <w:startOverride w:val="1"/>
    </w:lvlOverride>
  </w:num>
  <w:num w:numId="73">
    <w:abstractNumId w:val="34"/>
    <w:lvlOverride w:ilvl="0">
      <w:startOverride w:val="1"/>
    </w:lvlOverride>
  </w:num>
  <w:num w:numId="74">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