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To the extent available, obtain and review an analysis of Target's revenues and margins and inquire about:</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stream (civil work, special projects, services, and equipment rental);</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Customer;</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Geography;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End market/industry.</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revenue, margin, pricing, and average project length on a project basis, where available.</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Target's job costing methodology, including margin components and periodic true-ups.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Target's revenue recognition and billing process (for example: percentage-of-completion, periodic and contract-completion true-ups and variability, loss-provision process, policy controls/escalations, and lifecycle timing impacts on EBITDA).</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the profile and exposure of major projects/contracts, including customer concentration and key contractual risk terms.</w:t>
      </w:r>
    </w:p>
    <w:p w14:paraId="659699C4" w14:textId="77777777" w:rsidR="003C4524" w:rsidRPr="00FF7051" w:rsidRDefault="003C4524" w:rsidP="00783715">
      <w:pPr>
        <w:pStyle w:val="BodyText"/>
        <w:numPr>
          <w:ilvl w:val="0"/>
          <w:numId w:val="5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analyze backlog and active backlog as of the latest available date (including backlog margin on a project basis and historical backlog conversion).</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659699C4" w14:textId="77777777" w:rsidR="003C4524" w:rsidRPr="00FF7051" w:rsidRDefault="003C4524" w:rsidP="00783715">
      <w:pPr>
        <w:pStyle w:val="BodyText"/>
        <w:numPr>
          <w:ilvl w:val="0"/>
          <w:numId w:val="5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working capital and inquire about the following on a combined basis:</w:t>
      </w:r>
    </w:p>
    <w:p w14:paraId="659699C4" w14:textId="77777777" w:rsidR="003C4524" w:rsidRPr="00FF7051" w:rsidRDefault="003C4524" w:rsidP="00783715">
      <w:pPr>
        <w:pStyle w:val="BodyText"/>
        <w:numPr>
          <w:ilvl w:val="0"/>
          <w:numId w:val="52"/>
        </w:numPr>
        <w:spacing w:line="260" w:lineRule="exact"/>
        <w:ind w:left="720"/>
        <w:rPr>
          <w:rFonts w:asciiTheme="minorHAnsi" w:hAnsiTheme="minorHAnsi" w:cstheme="minorHAnsi"/>
          <w:sz w:val="20"/>
        </w:rPr>
      </w:pPr>
      <w:r w:rsidRPr="00FF7051">
        <w:rPr>
          <w:rFonts w:asciiTheme="minorHAnsi" w:hAnsiTheme="minorHAnsi" w:cstheme="minorHAnsi"/>
          <w:b w:val="0"/>
          <w:sz w:val="20"/>
        </w:rPr>
        <w:t>Composition of individual working capital accounts to determine sufficient working capital needs of the Company (including bonding requirements).</w:t>
      </w:r>
    </w:p>
    <w:p w14:paraId="659699C4" w14:textId="77777777" w:rsidR="003C4524" w:rsidRPr="00FF7051" w:rsidRDefault="003C4524" w:rsidP="00783715">
      <w:pPr>
        <w:pStyle w:val="BodyText"/>
        <w:numPr>
          <w:ilvl w:val="0"/>
          <w:numId w:val="52"/>
        </w:numPr>
        <w:spacing w:line="260" w:lineRule="exact"/>
        <w:ind w:left="720"/>
        <w:rPr>
          <w:rFonts w:asciiTheme="minorHAnsi" w:hAnsiTheme="minorHAnsi" w:cstheme="minorHAnsi"/>
          <w:sz w:val="20"/>
        </w:rPr>
      </w:pPr>
      <w:r w:rsidRPr="00FF7051">
        <w:rPr>
          <w:rFonts w:asciiTheme="minorHAnsi" w:hAnsiTheme="minorHAnsi" w:cstheme="minorHAnsi"/>
          <w:b w:val="0"/>
          <w:sz w:val="20"/>
        </w:rPr>
        <w:t>Monthly trending and fluctuations in working capital and impact on reported metrics (for example: days sales/payables/inventory outstanding and net working capital as a percentage of revenues).</w:t>
      </w:r>
    </w:p>
    <w:p w14:paraId="659699C4" w14:textId="77777777" w:rsidR="003C4524" w:rsidRPr="00FF7051" w:rsidRDefault="003C4524" w:rsidP="00783715">
      <w:pPr>
        <w:pStyle w:val="BodyText"/>
        <w:numPr>
          <w:ilvl w:val="0"/>
          <w:numId w:val="52"/>
        </w:numPr>
        <w:spacing w:line="260" w:lineRule="exact"/>
        <w:ind w:left="720"/>
        <w:rPr>
          <w:rFonts w:asciiTheme="minorHAnsi" w:hAnsiTheme="minorHAnsi" w:cstheme="minorHAnsi"/>
          <w:sz w:val="20"/>
        </w:rPr>
      </w:pPr>
      <w:r w:rsidRPr="00FF7051">
        <w:rPr>
          <w:rFonts w:asciiTheme="minorHAnsi" w:hAnsiTheme="minorHAnsi" w:cstheme="minorHAnsi"/>
          <w:b w:val="0"/>
          <w:sz w:val="20"/>
        </w:rPr>
        <w:t>Large, unusual, or non-operating items and current/upcoming initiatives that may affect normalized working capital trends (such as exited businesses, settlements, capital projects, and non-trade balances).</w:t>
      </w:r>
    </w:p>
    <w:p w14:paraId="659699C4" w14:textId="77777777" w:rsidR="003C4524" w:rsidRPr="00FF7051" w:rsidRDefault="003C4524" w:rsidP="00783715">
      <w:pPr>
        <w:pStyle w:val="BodyText"/>
        <w:numPr>
          <w:ilvl w:val="0"/>
          <w:numId w:val="52"/>
        </w:numPr>
        <w:spacing w:line="260" w:lineRule="exact"/>
        <w:ind w:left="720"/>
        <w:rPr>
          <w:rFonts w:asciiTheme="minorHAnsi" w:hAnsiTheme="minorHAnsi" w:cstheme="minorHAnsi"/>
          <w:sz w:val="20"/>
        </w:rPr>
      </w:pPr>
      <w:r w:rsidRPr="00FF7051">
        <w:rPr>
          <w:rFonts w:asciiTheme="minorHAnsi" w:hAnsiTheme="minorHAnsi" w:cstheme="minorHAnsi"/>
          <w:b w:val="0"/>
          <w:sz w:val="20"/>
        </w:rPr>
        <w:t>Nature of the Company's unearned revenue.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Inventory</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Prepare a summary of inventory and obtain an understanding of the Company's inventory costing methodology, inventory tracking, work-in-progress accounting interface, and obsolescence reserves.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Prepaid Materials And Other Assets</w:t>
      </w:r>
    </w:p>
    <w:p w14:paraId="659699C4" w14:textId="77777777" w:rsidR="003C4524" w:rsidRPr="00FF7051" w:rsidRDefault="003C4524" w:rsidP="00783715">
      <w:pPr>
        <w:pStyle w:val="BodyText"/>
        <w:numPr>
          <w:ilvl w:val="0"/>
          <w:numId w:val="55"/>
        </w:numPr>
        <w:spacing w:line="260" w:lineRule="exact"/>
        <w:ind w:left="720"/>
        <w:rPr>
          <w:rFonts w:asciiTheme="minorHAnsi" w:hAnsiTheme="minorHAnsi" w:cstheme="minorHAnsi"/>
          <w:sz w:val="20"/>
        </w:rPr>
      </w:pPr>
      <w:r w:rsidRPr="00FF7051">
        <w:rPr>
          <w:rFonts w:asciiTheme="minorHAnsi" w:hAnsiTheme="minorHAnsi" w:cstheme="minorHAnsi"/>
          <w:b w:val="0"/>
          <w:sz w:val="20"/>
        </w:rPr>
        <w:t>Prepare a summary of other assets (including prepaid materials and prepaid assets) and comment on unusual items, significant fluctuations, and significant balances.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construction receivables and contract balances and inquire about:</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 and unbilled receivables (including holdbacks/retentions) aging by project and major customer;</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Under/over billings and contract asset/liability balances;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Disputes/claims and change-order collectability;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write-offs, and reserve methodology.</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receivable concentration and credit risk by project, customer, and contract type.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Target's accounts payable and accrued liabilities and inquire about:</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Terms of trade with major suppliers, significant vendor allowances, rebates, and/or purchase commitments;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payables aging analysis and days payable outstanding analysis;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Billings in excess of cost profile; and</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accrued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 understanding of the Company’s current equipment, including:</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Mix of owned versus leased equipment/ vehicles;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Average age of equipment/ vehicles;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For leased fleet, understand the annual payment requirements;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For owned fleet, obtain details of historical capital expenditures and comment on planned, committed, and deferred capital expenditures.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comment on any contingent claims or liabilities including:</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 by regulatory or other authorities; and</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 (including contingencies and guarantees).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Related Parties</w:t>
      </w:r>
    </w:p>
    <w:p w14:paraId="659699C4" w14:textId="77777777" w:rsidR="003C4524" w:rsidRPr="00FF7051" w:rsidRDefault="003C4524" w:rsidP="00783715">
      <w:pPr>
        <w:pStyle w:val="BodyText"/>
        <w:numPr>
          <w:ilvl w:val="0"/>
          <w:numId w:val="68"/>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Target’s transactions (e.g. income statement and balance sheet impacts) with related parties including subsidiaries, holding companies, joint ventures, variable interest entities, and other entities under common ownership.</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Prepare a summary of debt and debt-like items (e.g. notes payable, letters of credit, capital vendor payables, deferred revenue, pension deficit, warranty matters, exposure from onerous contracts, contingent matters, etc.), other assets, and liabilities and comment on unusual items, significant fluctuations and significant balances.</w:t>
      </w:r>
    </w:p>
    <w:p w14:paraId="659699C4" w14:textId="77777777" w:rsidR="003C4524" w:rsidRPr="00FF7051" w:rsidRDefault="003C4524" w:rsidP="00783715">
      <w:pPr>
        <w:pStyle w:val="BodyText"/>
        <w:numPr>
          <w:ilvl w:val="0"/>
          <w:numId w:val="69"/>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Summary of lease right-of-use assets and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4"/>
    <w:lvlOverride w:ilvl="0">
      <w:startOverride w:val="1"/>
    </w:lvlOverride>
  </w:num>
  <w:num w:numId="47">
    <w:abstractNumId w:val="30"/>
    <w:lvlOverride w:ilvl="0">
      <w:startOverride w:val="1"/>
    </w:lvlOverride>
  </w:num>
  <w:num w:numId="48">
    <w:abstractNumId w:val="34"/>
    <w:lvlOverride w:ilvl="0">
      <w:startOverride w:val="1"/>
    </w:lvlOverride>
  </w:num>
  <w:num w:numId="49">
    <w:abstractNumId w:val="30"/>
    <w:lvlOverride w:ilvl="0">
      <w:startOverride w:val="1"/>
    </w:lvlOverride>
  </w:num>
  <w:num w:numId="50">
    <w:abstractNumId w:val="34"/>
    <w:lvlOverride w:ilvl="0">
      <w:startOverride w:val="1"/>
    </w:lvlOverride>
  </w:num>
  <w:num w:numId="51">
    <w:abstractNumId w:val="30"/>
    <w:lvlOverride w:ilvl="0">
      <w:startOverride w:val="1"/>
    </w:lvlOverride>
  </w:num>
  <w:num w:numId="52">
    <w:abstractNumId w:val="34"/>
    <w:lvlOverride w:ilvl="0">
      <w:startOverride w:val="1"/>
    </w:lvlOverride>
  </w:num>
  <w:num w:numId="53">
    <w:abstractNumId w:val="30"/>
    <w:lvlOverride w:ilvl="0">
      <w:startOverride w:val="1"/>
    </w:lvlOverride>
  </w:num>
  <w:num w:numId="54">
    <w:abstractNumId w:val="34"/>
    <w:lvlOverride w:ilvl="0">
      <w:startOverride w:val="1"/>
    </w:lvlOverride>
  </w:num>
  <w:num w:numId="55">
    <w:abstractNumId w:val="34"/>
    <w:lvlOverride w:ilvl="0">
      <w:startOverride w:val="1"/>
    </w:lvlOverride>
  </w:num>
  <w:num w:numId="56">
    <w:abstractNumId w:val="34"/>
    <w:lvlOverride w:ilvl="0">
      <w:startOverride w:val="1"/>
    </w:lvlOverride>
  </w:num>
  <w:num w:numId="57">
    <w:abstractNumId w:val="30"/>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0"/>
    <w:lvlOverride w:ilvl="0">
      <w:startOverride w:val="1"/>
    </w:lvlOverride>
  </w:num>
  <w:num w:numId="62">
    <w:abstractNumId w:val="34"/>
    <w:lvlOverride w:ilvl="0">
      <w:startOverride w:val="1"/>
    </w:lvlOverride>
  </w:num>
  <w:num w:numId="63">
    <w:abstractNumId w:val="30"/>
    <w:lvlOverride w:ilvl="0">
      <w:startOverride w:val="1"/>
    </w:lvlOverride>
  </w:num>
  <w:num w:numId="64">
    <w:abstractNumId w:val="30"/>
    <w:lvlOverride w:ilvl="0">
      <w:startOverride w:val="1"/>
    </w:lvlOverride>
  </w:num>
  <w:num w:numId="65">
    <w:abstractNumId w:val="34"/>
    <w:lvlOverride w:ilvl="0">
      <w:startOverride w:val="1"/>
    </w:lvlOverride>
  </w:num>
  <w:num w:numId="66">
    <w:abstractNumId w:val="30"/>
    <w:lvlOverride w:ilvl="0">
      <w:startOverride w:val="1"/>
    </w:lvlOverride>
  </w:num>
  <w:num w:numId="67">
    <w:abstractNumId w:val="30"/>
    <w:lvlOverride w:ilvl="0">
      <w:startOverride w:val="1"/>
    </w:lvlOverride>
  </w:num>
  <w:num w:numId="68">
    <w:abstractNumId w:val="34"/>
    <w:lvlOverride w:ilvl="0">
      <w:startOverride w:val="1"/>
    </w:lvlOverride>
  </w:num>
  <w:num w:numId="69">
    <w:abstractNumId w:val="34"/>
    <w:lvlOverride w:ilvl="0">
      <w:startOverride w:val="1"/>
    </w:lvlOverride>
  </w:num>
  <w:num w:numId="70">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