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to obtain background information about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Services offered;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in payor mix;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expansion;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Financing arrangements with patients,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Business risks and opportunities;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Information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healthcare-specific accounting profile considerations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Reporting methodology and management reporting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for cost allocations and shared services,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by service type and payor class, and any recent policy changes;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and non-recurring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out of period revenue and expense (e.g., cash to accrual accounting impact);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 forma impacts for items such as recent de novo.</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center-level financial information, including key operating metrics, revenue, and EBITDA, and inquire about unusual trends or fluctuations over the historical period, including unusual or non-standard contracts.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and profitability over the historical period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Same-location and de novo center performance;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Center-based versus home-based mix;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Procedure mix (including CPT-code-level analysis, where available);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Top patient and/or top payor concentration;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direct and indirect operating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Center-level expense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Corporate overhead allocations,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start-up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Components of other income and expense that may impact EBITDA.</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Waterfall Revenue Analysis</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available, obtain patient/encounter-level detail from billing and collections systems to perform a claims-level revenue analysis reflecting net cash received on closed claims and estimated cash expected on open claims (based on historical reimbursement trends). Discuss with management: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Drivers of monthly/quarterly/annual net revenue trends by location, significant payor, and significant service code;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Reimbursement trends by payor, service, and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Pricing/volume trends by location, payor, and service;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Payor mix trends in total and by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and drivers of fluctuation in the cash collection cycle;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cash collections reported in the billing system to third-party bank statements (on a sample basis);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billing and collection information to financial statements.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for changes in patient volumes, same-store/de novo/acquired facilities, and changes in direct and indirect operating expenses.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Behavior therapists (registered and unregistered) and board-certified behavior analysts: compensation, benefits, incentive compensation, and turnover.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Non-provider salaries, wages, and benefits, including incentive compensation.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Owner compensation and benefits.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Treatment supplies, including key suppliers and purchasing terms.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Center-level costs and sub-leasing arrangements.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Insurance expense.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Selling, general, and administrative/corporate expenses.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Overhead allocations.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working capital on a monthly basis and inquire about historical trends, including seasonality, fluctuations in days revenue outstanding and days payable outstanding, working capital as a percent of trailing revenue, and other significant items.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inventory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inventory valuation methodology (e.g. standard costing);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vendor allowances, rebates, allowances and/or purchase commitments and related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Return to vendor provisions;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aging and estimated provision, if any (i.e. slow-moving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Other Assets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analysis by center and by payor.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Contractual allowances.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Allowance for doubtful accounts and write-offs.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Prior-period accounts receivable adjustments.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Self-pay and credit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Collection experience.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reserves and adjustments.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accounts payable and accrued liabilities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terms of trade with major vendors, and days payable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revenue;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Fixed-asset continuity schedules (including significant additions and disposals).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Under-utilized assets and impairment write-downs/issues.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Self-insurance;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Post-retirement benefits;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Incentive compensation plans;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Leases;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Pending or threatened litigation or investigations by regulatory or other authorities;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significant and/or unusual liabilities.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read, and discuss with management net debt and debt-like items, whether recorded on-balance sheet or off-balance sheet (for example: notes payable, capital vendor payables, deferred purchase price of property or services, accrued bonuses, and capital lease obligations), including expected future payout timing and amounts.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19"/>
    <w:lvlOverride w:ilvl="0">
      <w:startOverride w:val="1"/>
    </w:lvlOverride>
  </w:num>
  <w:num w:numId="72">
    <w:abstractNumId w:val="21"/>
    <w:lvlOverride w:ilvl="0">
      <w:startOverride w:val="1"/>
    </w:lvlOverride>
  </w:num>
  <w:num w:numId="73">
    <w:abstractNumId w:val="19"/>
    <w:lvlOverride w:ilvl="0">
      <w:startOverride w:val="1"/>
    </w:lvlOverride>
  </w:num>
  <w:num w:numId="74">
    <w:abstractNumId w:val="21"/>
    <w:lvlOverride w:ilvl="0">
      <w:startOverride w:val="1"/>
    </w:lvlOverride>
  </w:num>
  <w:num w:numId="75">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