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the retail model and channels (stores, eCommerce, wholesale, etc.), including store footprint and geographic mix.</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merchandising strategy, product/category mix, seasonality, and promotional cadence.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key vendors, sourcing model, and supply chain / distribution network.</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revenue and gross margin trends by channel and major product category.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retail-specific margin drivers, including promotional cadence, markdown architecture, returns behavior, and discounting mix.</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customer metrics where available (traffic, conversion, basket size, repeat rate/loyalty).</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store labor model and scheduling, including wage rates, staffing levels, turnover, and overtime.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occupancy costs (rent, CAM, utilities) and store-level profitability drivers.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marketing and fulfillment costs (including shipping, last-mile, and returns processing).</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inventory-related working capital drivers,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composition by category and location/channel;</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turns, aged inventory, stock availability, and shrink/obsolescence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valuation methodology and reserve adequacy;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Returns, damages, and vendor return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vendor rebates/allowances and payment-term structures, and assess their impact on cash conversion.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customer-liability working capital drivers, including gift card and loyalty program liabilities.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21"/>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