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product lines, programs, customers (OEM/tier relationships), and regulatory/quality require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backlog, program life cycles, and ramp/production cade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manufacturing footprint, capacity constraints, and supply chain dependenc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venue and gross margin trends by program, customer, and product lin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ontract structures (long-term agreements, pricing escalators, penalties/claims) and revenue recognition approach.</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customer concentration, order volatility, and backlog conversion assump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inventory/WIP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ong-cycle inventory, work-in-process, and slow-moving/obsolete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terial price variance, scrap/rework, and yiel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lead times and risk of shortag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valuation and reserv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capex requirements for tooling, equipment, and capacity expans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maintenance capex versus growth capex and related replacement cycl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capitalized development/tooling costs (if applicable) and impairment consider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