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Jordan Lee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February 6,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[REVIEW: Provide TARGET_DESCRIPTION]</w:t>
      </w:r>
      <w:r w:rsidR="009A118E">
        <w:rPr>
          <w:rFonts w:asciiTheme="minorHAnsi" w:hAnsiTheme="minorHAnsi" w:cstheme="minorHAnsi"/>
          <w:sz w:val="20"/>
        </w:rPr>
        <w:t xml:space="preserve"> </w:t>
      </w:r>
      <w:r w:rsidR="00076631">
        <w:rPr>
          <w:rFonts w:asciiTheme="minorHAnsi" w:hAnsiTheme="minorHAnsi" w:cstheme="minorHAnsi"/>
          <w:sz w:val="20"/>
        </w:rPr>
        <w:t>[REVIEW: Provide 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[REVIEW: Provide 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Falcon</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[REVIEW: Provide 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[REVIEW: Provide 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[REVIEW: Provide 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[REVIEW: Provide 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Falcon.</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[REVIEW: Provide 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[REVIEW: Provide 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Falcon</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[REVIEW: Provide 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[REVIEW: Provide 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[REVIEW: Provide 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[REVIEW: Provide 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[REVIEW: Provide 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[REVIEW: Provide 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public</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[REVIEW: Provide 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Falcon</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[REVIEW: Provide 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Falcon and to address issues as they arise. The individual must have the skills, experience, and knowledge of [REVIEW: Provide CHOICE_CLIENT_OR_TARGET_POSSESSIVE] business necessary to effectively perform this function. We understand that Jordan Lee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Falcon</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Falcon</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Immediately</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TBD</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Avery Chen</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[REVIEW: Provide 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[REVIEW: Provide FEE_DISCOUNT_CLAUSE]</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[REVIEW: Provide FEE_DISCOUNT_PERCENT]</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[REVIEW: Provide 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[REVIEW: Provide 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[REVIEW: Provide 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[REVIEW: Provide 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[REVIEW: Insert existing services disclosure]</w:t>
      </w:r>
      <w:r w:rsidRPr="008E3375">
        <w:rPr>
          <w:rFonts w:asciiTheme="minorHAnsi" w:hAnsiTheme="minorHAnsi" w:cstheme="minorHAnsi"/>
          <w:sz w:val="20"/>
        </w:rPr>
        <w:t xml:space="preserve"> to </w:t>
      </w:r>
      <w:r w:rsidR="00076631">
        <w:rPr>
          <w:rFonts w:asciiTheme="minorHAnsi" w:hAnsiTheme="minorHAnsi" w:cstheme="minorHAnsi"/>
          <w:sz w:val="20"/>
        </w:rPr>
        <w:t>[REVIEW: Provide 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[REVIEW: Provide 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[REVIEW: Insert confidentiality 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[REVIEW: Provide 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[REVIEW: Confirm indemnity exclusion (or leave blank)]</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[REVIEW: Provide 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Avery Chen</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Avery Chen</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to obtain background information about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Services offered;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in payor mix;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expansion;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Financing arrangements with patients,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Business risks and opportunities;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Information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accounting policies as disclosed in the audited financial statements and perform a high-level gap assessment to identify differences between the Target’s accounting policies and practices and IFRS Accounting Standards as applied by Parent.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Reporting methodology;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Basis for cost allocations, if any;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recognition policies by service type, and any recent changes in policy;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Significant accounting estimates;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Recent or contemplated changes in accounting principles, procedures, or estimates;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Intercompany accounts and related party transactions;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Non-recurring transactions.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them with management to gain an understanding of accounting policies and practices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(i.e. allowances for doubtful accounts, inventory provisions,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Management identified adjustments;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revenue and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out of period revenue and expense (e.g., cash to accrual accounting impact);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 forma impacts for items such as recent de novo.</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and comment on the adjusted EBITDA prepared by Target and its sell-side advisors, and:</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Roll-forward the quality of earnings analysis included in the sell-side diligence report accordingly;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Propose any additional potential adjustments to historical earnings before interest, taxes, depreciation, and amortization ("EBITDA"), presented on a consolidated basis,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validity / impact of adjustments proposed by Management and the sell-side due diligence advisors, including Restructuring costs; Impact of loyalty program breakage; Sourcing changes; Vacation policy change; Accounting changes; Other normalization adjustments; Pro forma and run-rate adjustments; Carve-out, stand alone, corporate allocation considerations.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Work with Client to consider synergy considerations, purchasing rebates, etc.(See below synergies validation for additional detail);</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discovered in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the underlying transactional data (i.e. sales database), if available, and gain an understanding of the major trends in revenue and margins addressing areas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and end market/ segment/ region;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and volume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impact of large or long-term orders/ seasonality (if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any non-recurring components of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customer category (i.e. individual, business);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distribution channel (i.e. online, wholesale,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mix and cross-sell analysis.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Seasonal fluctuations in demand and monthly sales trends;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revenue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Gross to net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gross margin by customer;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Organic growth and delineation between price vs. volume;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 practices;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Promotions and discounts;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Any non-recurring components of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seasonality,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components of cost of sales and key suppliers.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center-level financial information including key operating metrics as well as related revenue and EBITDA. Inquire of Target regarding unusual trends or fluctuations in center performance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or non-standard contracts;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and profitability for the following changes: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Same location and de novo center;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Center-based vs. home-based;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Type of procedure by CPT code;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Top patient and/or top payers;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direct and indirect operating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Center-level expense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Allocations of corporate overhead costs,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start-up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Components of other income and expense for the historical periods. Consider items that may impact EBITDA.</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Understands the health and sustainability of revenue and margin, that will bring clarity and insights into the drivers of business performance to strengthen deal conviction. Provides confidence in value creation planning / realization by uncovering opportunities earlier.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Leveraging proprietary analytics tool, use the transaction / sales database from the IT / ERP systems to analyze revenue and profitability (cost, price, margin), key KPIs (e.g., average sales price, average order size, etc.) and performance trends (e.g., concentration, price-volume-mix, high growth SKUs, negative margins, etc.); evaluating by front-store and Pharmacy (Rx), Category (Dispensary, Over-the-Counter Products, Health and Beauty, Home Healthcare, Grocery, etc.), sub-category (by brand and sub-category), channel (brick &amp; mortar, eCom), by brand, and by geography (store ID, postal code, city,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Where information is available, also include Front of Store Partners (e.g.,, etc.) and eCom Partners (,,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Where information is available, generic versus branded drugs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Where information is available, public, private, or cash</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Integrate anonymized customer data to understand revenue and mix (one-time versus recurring) across different locations; use of loyalty programs loyalty programs (e.g., impact of discounts, recurring nature of customers, etc.); and how this impacts overall revenue sustainability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Store costs analyzed as a percentage of sales or applicable metric (selling payroll, other store payroll, store rent, marketing, shrinkage, sales-by-square footage,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Sales and COGS adjustments (including sales returns, markdowns, supplier revenue, stock shrinkage, obsolescence, other income, loyalty points and gift cards);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Consolidate the data into a clean Excel data cube and PowerBI Analysis file, and extract and understand any patterns and trends that might inform value creation and optimization opportunities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Behavior Therapists (registered and unregistered) and Board Certified Behavior Analyst; compensation and benefits, including incentive compensation and historical turnover;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Non-provider salaries, wages, and benefits, including incentive compensation;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Owner compensation and benefits;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Treatment supplies, including key suppliers and purchasing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Center-level costs and sub-leasing arrangements;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Insurance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administrative/corporate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Overhead allocations;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selling, general and administration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Salaries and wages (including headcount by area and function, if possible);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Information systems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Corporate costs and any allocations to store level as applicable; clarify expenses with</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Extraordinary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Rent and leases;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Miscellaneous and other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working capital on a monthly basis. Inquire about historical trends, including seasonality, fluctuations in key metrics such as days revenue outstanding, days payable outstanding, and working capital as a percent of trailing revenue, and other significant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historical working capital in the business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inventory,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Working capital trends and impact on reported metrics;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understanding non-trade balances,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provisions,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Working capital seasonality;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trends in key working capital metrics.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accounts receivable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Aging analysis by center by payor;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allowances;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doubtful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Prior period accounts receivable adjustments;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Self-pay and credit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Collection experience;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reserves and adjustments.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Aging analysis and related credit terms (including special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Reserve and adjustments.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accounts payable and accrued liabilities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revenue;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accounts payable and accrued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AP aging analysis, terms of trade with major vendors and days payables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expenses;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fixed assets, capital expenditures, and other assets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Capitalized internal labor;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Under-utilized assets;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Impairment write-downs and issues.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historical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Fixed asset continuity schedules (including significant additions and disposals);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Planned, committed, and deferred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Self-insurance;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Post-retirement benefits;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Incentive compensation plans;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Leases;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Pending or threatened litigation or investigations by regulatory or other authorities;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Capital expenditures;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significant and/or unusual liabilities.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read, and discuss with management net debt and debt-like items, whether recorded on the balance sheet or off-balance sheet, including the expected future payout timing and amounts.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Prepare a summary of debt and debt-like items (e.g. notes payable, capital vendor payables, deferred purchase price of property or services, accrued bonuses, capital lease obligation, etc.), commitments and contingencies.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Store Portfolio Analysis</w:t>
      </w:r>
    </w:p>
    <w:p w14:paraId="74C0B111" w14:textId="67C74C26" w:rsidR="00A602E3" w:rsidRPr="00F27894" w:rsidRDefault="00A602E3" w:rsidP="00790C7E">
      <w:pPr>
        <w:pStyle w:val="BodyText"/>
        <w:numPr>
          <w:ilvl w:val="0"/>
          <w:numId w:val="8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store P&amp;L data to perform analysis to understand the drivers of historical sales and profitability development within the store portfolio to perform the following (to the extent possible based on information availability and transaction timelines):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8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Sales and profitability by store location (including same store sales analysis, front store vs pharmacy, cost and margin profiles);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8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Segment the store portfolio to assess historical performance based on the following: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Outlier performance – top quartile vs bottom quartile performing stores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Store-type – Suburban / Dense Urban / Rural / etc., size format, storefront vs mall,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Existing (same) stores, new stores, renovated stores, closed stores; standard, specialty, next gen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Cohort analysis based on vintage year: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Ramp analysis to understand ramp profile and assess reasonability of pro forma revenue and EBITDA maturity adjustments for recently opened locations;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Store productivity and KPI metrics (e.g. Rx count, Rx revenue per Rx, sales/profitability per square foot);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8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inventory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8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inventory valuation methodology (e.g. standard costing);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vendor allowances, rebates, allowances and/or purchase commitments and related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Return to vendor provisions;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aging and estimated provision, if any (i.e. slow-moving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Other Assets</w:t>
      </w:r>
    </w:p>
    <w:p w14:paraId="74C0B111" w14:textId="67C74C26" w:rsidR="00A602E3" w:rsidRPr="00F27894" w:rsidRDefault="00A602E3" w:rsidP="00790C7E">
      <w:pPr>
        <w:pStyle w:val="BodyText"/>
        <w:numPr>
          <w:ilvl w:val="0"/>
          <w:numId w:val="8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Purchase And Sale Agreement</w:t>
      </w:r>
    </w:p>
    <w:p w14:paraId="74C0B111" w14:textId="67C74C26" w:rsidR="00A602E3" w:rsidRPr="00F27894" w:rsidRDefault="00A602E3" w:rsidP="00790C7E">
      <w:pPr>
        <w:pStyle w:val="BodyText"/>
        <w:numPr>
          <w:ilvl w:val="0"/>
          <w:numId w:val="8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available draft of the Purchase and Sale Agreement and offer commentary to you and your attorneys primarily concerning sections relating to accounting matters, based on the results of the due diligence assistance we provide to you. You agree to review with your attorney all our comments and suggestions concerning the Purchase and Sale agreement before acting on any of our suggestions.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Assistance With Transaction Documentation</w:t>
      </w:r>
    </w:p>
    <w:p w14:paraId="74C0B111" w14:textId="67C74C26" w:rsidR="00A602E3" w:rsidRPr="00F27894" w:rsidRDefault="00A602E3" w:rsidP="00790C7E">
      <w:pPr>
        <w:pStyle w:val="BodyText"/>
        <w:numPr>
          <w:ilvl w:val="0"/>
          <w:numId w:val="8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Assist with relevant asset purchase agreement financial definitions (e.g. net working capital and debt-like item definitions and adjustment procedures).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Waterfall Revenue Analysis</w:t>
      </w:r>
    </w:p>
    <w:p w14:paraId="74C0B111" w14:textId="67C74C26" w:rsidR="00A602E3" w:rsidRPr="00F27894" w:rsidRDefault="00A602E3" w:rsidP="00790C7E">
      <w:pPr>
        <w:pStyle w:val="BodyText"/>
        <w:numPr>
          <w:ilvl w:val="0"/>
          <w:numId w:val="8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available, obtain patient/encounter-level detail from the billing and collections systems utilized by Target to perform a claims-level revenue analysis reflecting net cash received on closed claims, and estimated cash expected to be received on open claims (based on historical reimbursement trends). Discuss with management: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Drivers of monthly/quarterly/annual net revenue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By location (8 clinic locations and 2 de novo locations);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By significant payor;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By significant service code.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Reimbursement trends by payor, by service, and by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Pricing/volume trends by location by payor by service;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Payor mix in total and by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and drivers of fluctuation in the cash collection cycle;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cash collections reported in the billing system to third-party bank statements (on a sample basis);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8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billing and collection information to financial statements;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8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for the following changes: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9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Patient volumes;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9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Same store, de novo, and acquired facilities;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9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direct and indirect operating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Working Papers</w:t>
      </w:r>
    </w:p>
    <w:p w14:paraId="74C0B111" w14:textId="67C74C26" w:rsidR="00A602E3" w:rsidRPr="00F27894" w:rsidRDefault="00A602E3" w:rsidP="00790C7E">
      <w:pPr>
        <w:pStyle w:val="BodyText"/>
        <w:numPr>
          <w:ilvl w:val="0"/>
          <w:numId w:val="9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9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any changes in accounting policies or methods;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9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9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as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9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of the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Jordan Lee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[REVIEW: Provide 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TBD</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Jordan Lee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Falcon</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[REVIEW: Provide 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Avery Chen</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[REVIEW: Provide 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[REVIEW: Provide 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[REVIEW: Provide 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[REVIEW: Provide CLIENT_ADDRESS_LINE_2]</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TBD</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Falcon</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Falcon</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Avery Chen</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[REVIEW: Provide 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TBD</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[REVIEW: Provide 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Avery Chen</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[REVIEW: Provide 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[REVIEW: Provide 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[REVIEW: Provide 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Falcon</w:t>
    </w:r>
  </w:p>
  <w:p w14:paraId="425D002E" w14:textId="7CFE8FA3" w:rsidR="00106DAC" w:rsidRDefault="00076631" w:rsidP="00D007CC">
    <w:pPr>
      <w:pStyle w:val="Header"/>
      <w:jc w:val="right"/>
    </w:pPr>
    <w:r>
      <w:t>February 6,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19"/>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19"/>
    <w:lvlOverride w:ilvl="0">
      <w:startOverride w:val="1"/>
    </w:lvlOverride>
  </w:num>
  <w:num w:numId="72">
    <w:abstractNumId w:val="19"/>
    <w:lvlOverride w:ilvl="0">
      <w:startOverride w:val="1"/>
    </w:lvlOverride>
  </w:num>
  <w:num w:numId="73">
    <w:abstractNumId w:val="21"/>
    <w:lvlOverride w:ilvl="0">
      <w:startOverride w:val="1"/>
    </w:lvlOverride>
  </w:num>
  <w:num w:numId="74">
    <w:abstractNumId w:val="19"/>
    <w:lvlOverride w:ilvl="0">
      <w:startOverride w:val="1"/>
    </w:lvlOverride>
  </w:num>
  <w:num w:numId="75">
    <w:abstractNumId w:val="19"/>
    <w:lvlOverride w:ilvl="0">
      <w:startOverride w:val="1"/>
    </w:lvlOverride>
  </w:num>
  <w:num w:numId="76">
    <w:abstractNumId w:val="19"/>
    <w:lvlOverride w:ilvl="0">
      <w:startOverride w:val="1"/>
    </w:lvlOverride>
  </w:num>
  <w:num w:numId="77">
    <w:abstractNumId w:val="21"/>
    <w:lvlOverride w:ilvl="0">
      <w:startOverride w:val="1"/>
    </w:lvlOverride>
  </w:num>
  <w:num w:numId="78">
    <w:abstractNumId w:val="19"/>
    <w:lvlOverride w:ilvl="0">
      <w:startOverride w:val="1"/>
    </w:lvlOverride>
  </w:num>
  <w:num w:numId="79">
    <w:abstractNumId w:val="21"/>
    <w:lvlOverride w:ilvl="0">
      <w:startOverride w:val="1"/>
    </w:lvlOverride>
  </w:num>
  <w:num w:numId="80">
    <w:abstractNumId w:val="21"/>
    <w:lvlOverride w:ilvl="0">
      <w:startOverride w:val="1"/>
    </w:lvlOverride>
  </w:num>
  <w:num w:numId="81">
    <w:abstractNumId w:val="19"/>
    <w:lvlOverride w:ilvl="0">
      <w:startOverride w:val="1"/>
    </w:lvlOverride>
  </w:num>
  <w:num w:numId="82">
    <w:abstractNumId w:val="19"/>
    <w:lvlOverride w:ilvl="0">
      <w:startOverride w:val="1"/>
    </w:lvlOverride>
  </w:num>
  <w:num w:numId="83">
    <w:abstractNumId w:val="21"/>
    <w:lvlOverride w:ilvl="0">
      <w:startOverride w:val="1"/>
    </w:lvlOverride>
  </w:num>
  <w:num w:numId="84">
    <w:abstractNumId w:val="19"/>
    <w:lvlOverride w:ilvl="0">
      <w:startOverride w:val="1"/>
    </w:lvlOverride>
  </w:num>
  <w:num w:numId="85">
    <w:abstractNumId w:val="21"/>
    <w:lvlOverride w:ilvl="0">
      <w:startOverride w:val="1"/>
    </w:lvlOverride>
  </w:num>
  <w:num w:numId="86">
    <w:abstractNumId w:val="21"/>
    <w:lvlOverride w:ilvl="0">
      <w:startOverride w:val="1"/>
    </w:lvlOverride>
  </w:num>
  <w:num w:numId="87">
    <w:abstractNumId w:val="21"/>
    <w:lvlOverride w:ilvl="0">
      <w:startOverride w:val="1"/>
    </w:lvlOverride>
  </w:num>
  <w:num w:numId="88">
    <w:abstractNumId w:val="21"/>
    <w:lvlOverride w:ilvl="0">
      <w:startOverride w:val="1"/>
    </w:lvlOverride>
  </w:num>
  <w:num w:numId="89">
    <w:abstractNumId w:val="19"/>
    <w:lvlOverride w:ilvl="0">
      <w:startOverride w:val="1"/>
    </w:lvlOverride>
  </w:num>
  <w:num w:numId="90">
    <w:abstractNumId w:val="19"/>
    <w:lvlOverride w:ilvl="0">
      <w:startOverride w:val="1"/>
    </w:lvlOverride>
  </w:num>
  <w:num w:numId="91">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