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77777777"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{{GUIDANCE_01}}</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be prepared on the basis that you will provide us with all relevant information that you have received concerning Target. We have no obligation to update our report or to revise the information contained therein because of events and transactions occurring </w:t>
      </w:r>
      <w:proofErr w:type="gramStart"/>
      <w:r w:rsidRPr="005729E3">
        <w:rPr>
          <w:rFonts w:asciiTheme="minorHAnsi" w:hAnsiTheme="minorHAnsi" w:cstheme="minorHAnsi"/>
          <w:sz w:val="20"/>
        </w:rPr>
        <w:t>subsequent to</w:t>
      </w:r>
      <w:proofErr w:type="gramEnd"/>
      <w:r w:rsidRPr="005729E3">
        <w:rPr>
          <w:rFonts w:asciiTheme="minorHAnsi" w:hAnsiTheme="minorHAnsi" w:cstheme="minorHAnsi"/>
          <w:sz w:val="20"/>
        </w:rPr>
        <w:t xml:space="preserve">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w:t>
      </w:r>
      <w:proofErr w:type="spellStart"/>
      <w:r w:rsidRPr="005729E3">
        <w:rPr>
          <w:rFonts w:asciiTheme="minorHAnsi" w:hAnsiTheme="minorHAnsi" w:cstheme="minorHAnsi"/>
          <w:sz w:val="20"/>
        </w:rPr>
        <w:t>favour</w:t>
      </w:r>
      <w:proofErr w:type="spellEnd"/>
      <w:r w:rsidRPr="005729E3">
        <w:rPr>
          <w:rFonts w:asciiTheme="minorHAnsi" w:hAnsiTheme="minorHAnsi" w:cstheme="minorHAnsi"/>
          <w:sz w:val="20"/>
        </w:rPr>
        <w:t xml:space="preserve">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w:t>
      </w:r>
      <w:proofErr w:type="gramStart"/>
      <w:r w:rsidRPr="005729E3">
        <w:rPr>
          <w:rFonts w:asciiTheme="minorHAnsi" w:hAnsiTheme="minorHAnsi" w:cstheme="minorHAnsi"/>
          <w:sz w:val="20"/>
        </w:rPr>
        <w:t>Third Party</w:t>
      </w:r>
      <w:proofErr w:type="gramEnd"/>
      <w:r w:rsidRPr="005729E3">
        <w:rPr>
          <w:rFonts w:asciiTheme="minorHAnsi" w:hAnsiTheme="minorHAnsi" w:cstheme="minorHAnsi"/>
          <w:sz w:val="20"/>
        </w:rPr>
        <w:t xml:space="preserve"> Access Letter must be returned to us prior to any release of the report. If you would like Target to review our report, we will require a Client Consent Letter and a </w:t>
      </w:r>
      <w:proofErr w:type="gramStart"/>
      <w:r w:rsidRPr="005729E3">
        <w:rPr>
          <w:rFonts w:asciiTheme="minorHAnsi" w:hAnsiTheme="minorHAnsi" w:cstheme="minorHAnsi"/>
          <w:sz w:val="20"/>
        </w:rPr>
        <w:t>Third Party</w:t>
      </w:r>
      <w:proofErr w:type="gramEnd"/>
      <w:r w:rsidRPr="005729E3">
        <w:rPr>
          <w:rFonts w:asciiTheme="minorHAnsi" w:hAnsiTheme="minorHAnsi" w:cstheme="minorHAnsi"/>
          <w:sz w:val="20"/>
        </w:rPr>
        <w:t xml:space="preserve"> Access Letter, but the form of </w:t>
      </w:r>
      <w:proofErr w:type="gramStart"/>
      <w:r w:rsidRPr="005729E3">
        <w:rPr>
          <w:rFonts w:asciiTheme="minorHAnsi" w:hAnsiTheme="minorHAnsi" w:cstheme="minorHAnsi"/>
          <w:sz w:val="20"/>
        </w:rPr>
        <w:t>Third Party</w:t>
      </w:r>
      <w:proofErr w:type="gramEnd"/>
      <w:r w:rsidRPr="005729E3">
        <w:rPr>
          <w:rFonts w:asciiTheme="minorHAnsi" w:hAnsiTheme="minorHAnsi" w:cstheme="minorHAnsi"/>
          <w:sz w:val="20"/>
        </w:rPr>
        <w:t xml:space="preserve">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To the fullest extent permitted by law, KPMG is not liable to Client for any consequences, claims, penalties, fines, actions, proceedings, liabilities, costs, expenses, losses, or demands that may result or arise from or otherwise </w:t>
      </w:r>
      <w:proofErr w:type="gramStart"/>
      <w:r w:rsidRPr="005729E3">
        <w:rPr>
          <w:rFonts w:asciiTheme="minorHAnsi" w:hAnsiTheme="minorHAnsi" w:cstheme="minorHAnsi"/>
          <w:sz w:val="20"/>
        </w:rPr>
        <w:t>be connected with</w:t>
      </w:r>
      <w:proofErr w:type="gramEnd"/>
      <w:r w:rsidRPr="005729E3">
        <w:rPr>
          <w:rFonts w:asciiTheme="minorHAnsi" w:hAnsiTheme="minorHAnsi" w:cstheme="minorHAnsi"/>
          <w:sz w:val="20"/>
        </w:rPr>
        <w:t xml:space="preserve">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w:t>
      </w:r>
      <w:proofErr w:type="spellStart"/>
      <w:r w:rsidRPr="005729E3">
        <w:rPr>
          <w:rFonts w:asciiTheme="minorHAnsi" w:hAnsiTheme="minorHAnsi" w:cstheme="minorHAnsi"/>
          <w:sz w:val="20"/>
        </w:rPr>
        <w:t>Revenu</w:t>
      </w:r>
      <w:proofErr w:type="spellEnd"/>
      <w:r w:rsidRPr="005729E3">
        <w:rPr>
          <w:rFonts w:asciiTheme="minorHAnsi" w:hAnsiTheme="minorHAnsi" w:cstheme="minorHAnsi"/>
          <w:sz w:val="20"/>
        </w:rPr>
        <w:t xml:space="preserve"> Québec final assessment based on the general anti-avoidance rule, from being able to obtain authorization from the </w:t>
      </w:r>
      <w:r w:rsidRPr="005729E3">
        <w:rPr>
          <w:rFonts w:asciiTheme="minorHAnsi" w:hAnsiTheme="minorHAnsi" w:cstheme="minorHAnsi"/>
          <w:i/>
          <w:iCs/>
          <w:sz w:val="20"/>
        </w:rPr>
        <w:t xml:space="preserve">Autorité des </w:t>
      </w:r>
      <w:proofErr w:type="spellStart"/>
      <w:r w:rsidRPr="005729E3">
        <w:rPr>
          <w:rFonts w:asciiTheme="minorHAnsi" w:hAnsiTheme="minorHAnsi" w:cstheme="minorHAnsi"/>
          <w:i/>
          <w:iCs/>
          <w:sz w:val="20"/>
        </w:rPr>
        <w:t>marchés</w:t>
      </w:r>
      <w:proofErr w:type="spellEnd"/>
      <w:r w:rsidRPr="005729E3">
        <w:rPr>
          <w:rFonts w:asciiTheme="minorHAnsi" w:hAnsiTheme="minorHAnsi" w:cstheme="minorHAnsi"/>
          <w:i/>
          <w:iCs/>
          <w:sz w:val="20"/>
        </w:rPr>
        <w:t xml:space="preserve">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w:t>
      </w:r>
      <w:proofErr w:type="gramStart"/>
      <w:r w:rsidRPr="008E3375">
        <w:rPr>
          <w:rFonts w:asciiTheme="minorHAnsi" w:hAnsiTheme="minorHAnsi" w:cstheme="minorHAnsi"/>
          <w:sz w:val="20"/>
        </w:rPr>
        <w:t>in order to</w:t>
      </w:r>
      <w:proofErr w:type="gramEnd"/>
      <w:r w:rsidRPr="008E3375">
        <w:rPr>
          <w:rFonts w:asciiTheme="minorHAnsi" w:hAnsiTheme="minorHAnsi" w:cstheme="minorHAnsi"/>
          <w:sz w:val="20"/>
        </w:rPr>
        <w:t xml:space="preserve">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proofErr w:type="gramStart"/>
      <w:r w:rsidRPr="008E3375">
        <w:rPr>
          <w:rFonts w:asciiTheme="minorHAnsi" w:hAnsiTheme="minorHAnsi" w:cstheme="minorHAnsi"/>
          <w:sz w:val="20"/>
        </w:rPr>
        <w:t>With regard to</w:t>
      </w:r>
      <w:proofErr w:type="gramEnd"/>
      <w:r w:rsidRPr="008E3375">
        <w:rPr>
          <w:rFonts w:asciiTheme="minorHAnsi" w:hAnsiTheme="minorHAnsi" w:cstheme="minorHAnsi"/>
          <w:sz w:val="20"/>
        </w:rPr>
        <w:t xml:space="preserve">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 xml:space="preserve">will fulfill these </w:t>
      </w:r>
      <w:proofErr w:type="gramStart"/>
      <w:r w:rsidRPr="008E3375">
        <w:rPr>
          <w:rFonts w:asciiTheme="minorHAnsi" w:hAnsiTheme="minorHAnsi" w:cstheme="minorHAnsi"/>
          <w:sz w:val="20"/>
        </w:rPr>
        <w:t>responsibilities;</w:t>
      </w:r>
      <w:proofErr w:type="gramEnd"/>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 xml:space="preserve">determining the objectives, scope, and extent of KPMG’s </w:t>
      </w:r>
      <w:proofErr w:type="gramStart"/>
      <w:r w:rsidRPr="008E3375">
        <w:rPr>
          <w:rFonts w:asciiTheme="minorHAnsi" w:hAnsiTheme="minorHAnsi" w:cstheme="minorHAnsi"/>
          <w:sz w:val="20"/>
        </w:rPr>
        <w:t>services;</w:t>
      </w:r>
      <w:proofErr w:type="gramEnd"/>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proofErr w:type="gramStart"/>
      <w:r w:rsidR="00200416">
        <w:rPr>
          <w:rFonts w:asciiTheme="minorHAnsi" w:hAnsiTheme="minorHAnsi" w:cstheme="minorHAnsi"/>
          <w:sz w:val="20"/>
        </w:rPr>
        <w:t>}}</w:t>
      </w:r>
      <w:r w:rsidRPr="008E3375">
        <w:rPr>
          <w:rFonts w:asciiTheme="minorHAnsi" w:hAnsiTheme="minorHAnsi" w:cstheme="minorHAnsi"/>
          <w:sz w:val="20"/>
        </w:rPr>
        <w:t>%</w:t>
      </w:r>
      <w:proofErr w:type="gramEnd"/>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proofErr w:type="gramStart"/>
      <w:r w:rsidR="00200416">
        <w:rPr>
          <w:rFonts w:asciiTheme="minorHAnsi" w:hAnsiTheme="minorHAnsi" w:cstheme="minorHAnsi"/>
          <w:sz w:val="20"/>
        </w:rPr>
        <w:t>}}</w:t>
      </w:r>
      <w:r w:rsidRPr="008E3375">
        <w:rPr>
          <w:rFonts w:asciiTheme="minorHAnsi" w:hAnsiTheme="minorHAnsi" w:cstheme="minorHAnsi"/>
          <w:sz w:val="20"/>
        </w:rPr>
        <w:t>%</w:t>
      </w:r>
      <w:proofErr w:type="gramEnd"/>
      <w:r w:rsidRPr="008E3375">
        <w:rPr>
          <w:rFonts w:asciiTheme="minorHAnsi" w:hAnsiTheme="minorHAnsi" w:cstheme="minorHAnsi"/>
          <w:sz w:val="20"/>
        </w:rPr>
        <w:t xml:space="preserve">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xml:space="preserve">: If the Sentinel Resolver identified a professional conflict that must be disclosed to the client and that </w:t>
      </w:r>
      <w:proofErr w:type="gramStart"/>
      <w:r w:rsidRPr="00FD6707">
        <w:rPr>
          <w:rFonts w:asciiTheme="minorHAnsi" w:hAnsiTheme="minorHAnsi" w:cstheme="minorHAnsi"/>
          <w:i/>
          <w:iCs/>
          <w:color w:val="FF0000"/>
          <w:sz w:val="20"/>
          <w:highlight w:val="yellow"/>
        </w:rPr>
        <w:t>requires</w:t>
      </w:r>
      <w:proofErr w:type="gramEnd"/>
      <w:r w:rsidRPr="00FD6707">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xml:space="preserv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sidRPr="0063028C">
        <w:rPr>
          <w:rFonts w:asciiTheme="minorHAnsi" w:hAnsiTheme="minorHAnsi" w:cstheme="minorHAnsi"/>
          <w:i/>
          <w:iCs/>
          <w:color w:val="FF0000"/>
          <w:sz w:val="20"/>
          <w:highlight w:val="yellow"/>
        </w:rPr>
        <w:t>tailored</w:t>
      </w:r>
      <w:proofErr w:type="gramEnd"/>
      <w:r w:rsidRPr="0063028C">
        <w:rPr>
          <w:rFonts w:asciiTheme="minorHAnsi" w:hAnsiTheme="minorHAnsi" w:cstheme="minorHAnsi"/>
          <w:i/>
          <w:iCs/>
          <w:color w:val="FF0000"/>
          <w:sz w:val="20"/>
          <w:highlight w:val="yellow"/>
        </w:rPr>
        <w:t xml:space="preserve">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2DDFDC5" w14:textId="77777777" w:rsidR="009E2E80" w:rsidRPr="00C8073F" w:rsidRDefault="009E2E80" w:rsidP="009E2E80">
      <w:pPr>
        <w:pStyle w:val="BodyText"/>
        <w:spacing w:line="260" w:lineRule="exact"/>
        <w:jc w:val="both"/>
        <w:rPr>
          <w:rFonts w:asciiTheme="minorHAnsi" w:hAnsiTheme="minorHAnsi" w:cstheme="minorHAnsi"/>
          <w:i/>
          <w:iCs/>
          <w:color w:val="FF0000"/>
          <w:sz w:val="20"/>
        </w:rPr>
      </w:pPr>
      <w:r w:rsidRPr="00C8073F">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The s</w:t>
      </w:r>
      <w:r w:rsidRPr="00C8073F">
        <w:rPr>
          <w:rFonts w:asciiTheme="minorHAnsi" w:hAnsiTheme="minorHAnsi" w:cstheme="minorHAnsi"/>
          <w:i/>
          <w:iCs/>
          <w:color w:val="FF0000"/>
          <w:sz w:val="20"/>
          <w:highlight w:val="yellow"/>
        </w:rPr>
        <w:t>cope of work and detailed procedures are to be tailored for each engagement in Appendix A of the SOW</w:t>
      </w:r>
      <w:r>
        <w:rPr>
          <w:rFonts w:asciiTheme="minorHAnsi" w:hAnsiTheme="minorHAnsi" w:cstheme="minorHAnsi"/>
          <w:i/>
          <w:iCs/>
          <w:color w:val="FF0000"/>
          <w:sz w:val="20"/>
          <w:highlight w:val="yellow"/>
        </w:rPr>
        <w:t>. T</w:t>
      </w:r>
      <w:r w:rsidRPr="00C8073F">
        <w:rPr>
          <w:rFonts w:asciiTheme="minorHAnsi" w:hAnsiTheme="minorHAnsi" w:cstheme="minorHAnsi"/>
          <w:i/>
          <w:iCs/>
          <w:color w:val="FF0000"/>
          <w:sz w:val="20"/>
          <w:highlight w:val="yellow"/>
        </w:rPr>
        <w:t xml:space="preserve">he sample below represents a high-level financial due diligence </w:t>
      </w:r>
      <w:r>
        <w:rPr>
          <w:rFonts w:asciiTheme="minorHAnsi" w:hAnsiTheme="minorHAnsi" w:cstheme="minorHAnsi"/>
          <w:i/>
          <w:iCs/>
          <w:color w:val="FF0000"/>
          <w:sz w:val="20"/>
          <w:highlight w:val="yellow"/>
        </w:rPr>
        <w:t xml:space="preserve">scope </w:t>
      </w:r>
      <w:r w:rsidRPr="00C8073F">
        <w:rPr>
          <w:rFonts w:asciiTheme="minorHAnsi" w:hAnsiTheme="minorHAnsi" w:cstheme="minorHAnsi"/>
          <w:i/>
          <w:iCs/>
          <w:color w:val="FF0000"/>
          <w:sz w:val="20"/>
          <w:highlight w:val="yellow"/>
        </w:rPr>
        <w:t>on the financial performance of power generating facilities.]</w:t>
      </w:r>
    </w:p>
    <w:p w14:paraId="22536123" w14:textId="77777777" w:rsidR="003C4524" w:rsidRPr="00F57B9C" w:rsidRDefault="003C4524" w:rsidP="00783715">
      <w:pPr>
        <w:pStyle w:val="BodyText"/>
        <w:spacing w:line="260" w:lineRule="exact"/>
        <w:rPr>
          <w:rFonts w:asciiTheme="minorHAnsi" w:hAnsiTheme="minorHAnsi" w:cstheme="minorHAnsi"/>
          <w:i/>
          <w:iCs/>
          <w:sz w:val="20"/>
        </w:rPr>
      </w:pPr>
      <w:r w:rsidRPr="00F57B9C">
        <w:rPr>
          <w:rFonts w:asciiTheme="minorHAnsi" w:hAnsiTheme="minorHAnsi" w:cstheme="minorHAnsi"/>
          <w:i/>
          <w:iCs/>
          <w:sz w:val="20"/>
        </w:rPr>
        <w:t xml:space="preserve">Our focus will be to understand and analyze the regular cash distributions that are available to holders of the shares of the </w:t>
      </w:r>
      <w:proofErr w:type="spellStart"/>
      <w:r w:rsidRPr="00F57B9C">
        <w:rPr>
          <w:rFonts w:asciiTheme="minorHAnsi" w:hAnsiTheme="minorHAnsi" w:cstheme="minorHAnsi"/>
          <w:i/>
          <w:iCs/>
          <w:sz w:val="20"/>
        </w:rPr>
        <w:t>HoldCos</w:t>
      </w:r>
      <w:proofErr w:type="spellEnd"/>
      <w:r w:rsidRPr="00F57B9C">
        <w:rPr>
          <w:rFonts w:asciiTheme="minorHAnsi" w:hAnsiTheme="minorHAnsi" w:cstheme="minorHAnsi"/>
          <w:i/>
          <w:iCs/>
          <w:sz w:val="20"/>
        </w:rPr>
        <w:t>.</w:t>
      </w:r>
    </w:p>
    <w:p w14:paraId="73C23987" w14:textId="77777777" w:rsidR="003C4524" w:rsidRPr="00F57B9C" w:rsidRDefault="003C4524" w:rsidP="00783715">
      <w:pPr>
        <w:pStyle w:val="BodyText"/>
        <w:spacing w:line="260" w:lineRule="exact"/>
        <w:rPr>
          <w:rFonts w:asciiTheme="minorHAnsi" w:hAnsiTheme="minorHAnsi" w:cstheme="minorHAnsi"/>
          <w:i/>
          <w:iCs/>
          <w:sz w:val="20"/>
        </w:rPr>
      </w:pPr>
      <w:r w:rsidRPr="00F57B9C">
        <w:rPr>
          <w:rFonts w:asciiTheme="minorHAnsi" w:hAnsiTheme="minorHAnsi" w:cstheme="minorHAnsi"/>
          <w:i/>
          <w:iCs/>
          <w:sz w:val="20"/>
        </w:rPr>
        <w:t>Our work will cover the fiscal years ended December 31, 20</w:t>
      </w:r>
      <w:r w:rsidR="0082578F">
        <w:rPr>
          <w:rFonts w:asciiTheme="minorHAnsi" w:hAnsiTheme="minorHAnsi" w:cstheme="minorHAnsi"/>
          <w:i/>
          <w:iCs/>
          <w:sz w:val="20"/>
        </w:rPr>
        <w:t xml:space="preserve">22 </w:t>
      </w:r>
      <w:r w:rsidRPr="00F57B9C">
        <w:rPr>
          <w:rFonts w:asciiTheme="minorHAnsi" w:hAnsiTheme="minorHAnsi" w:cstheme="minorHAnsi"/>
          <w:i/>
          <w:iCs/>
          <w:sz w:val="20"/>
        </w:rPr>
        <w:t>(“FY</w:t>
      </w:r>
      <w:r w:rsidR="0082578F">
        <w:rPr>
          <w:rFonts w:asciiTheme="minorHAnsi" w:hAnsiTheme="minorHAnsi" w:cstheme="minorHAnsi"/>
          <w:i/>
          <w:iCs/>
          <w:sz w:val="20"/>
        </w:rPr>
        <w:t>22</w:t>
      </w:r>
      <w:r w:rsidRPr="00F57B9C">
        <w:rPr>
          <w:rFonts w:asciiTheme="minorHAnsi" w:hAnsiTheme="minorHAnsi" w:cstheme="minorHAnsi"/>
          <w:i/>
          <w:iCs/>
          <w:sz w:val="20"/>
        </w:rPr>
        <w:t>”), 202</w:t>
      </w:r>
      <w:r w:rsidR="0082578F">
        <w:rPr>
          <w:rFonts w:asciiTheme="minorHAnsi" w:hAnsiTheme="minorHAnsi" w:cstheme="minorHAnsi"/>
          <w:i/>
          <w:iCs/>
          <w:sz w:val="20"/>
        </w:rPr>
        <w:t>3</w:t>
      </w:r>
      <w:r w:rsidRPr="00F57B9C">
        <w:rPr>
          <w:rFonts w:asciiTheme="minorHAnsi" w:hAnsiTheme="minorHAnsi" w:cstheme="minorHAnsi"/>
          <w:i/>
          <w:iCs/>
          <w:sz w:val="20"/>
        </w:rPr>
        <w:t xml:space="preserve"> (“FY2</w:t>
      </w:r>
      <w:r w:rsidR="0082578F">
        <w:rPr>
          <w:rFonts w:asciiTheme="minorHAnsi" w:hAnsiTheme="minorHAnsi" w:cstheme="minorHAnsi"/>
          <w:i/>
          <w:iCs/>
          <w:sz w:val="20"/>
        </w:rPr>
        <w:t>3</w:t>
      </w:r>
      <w:r w:rsidRPr="00F57B9C">
        <w:rPr>
          <w:rFonts w:asciiTheme="minorHAnsi" w:hAnsiTheme="minorHAnsi" w:cstheme="minorHAnsi"/>
          <w:i/>
          <w:iCs/>
          <w:sz w:val="20"/>
        </w:rPr>
        <w:t>”), and financial projections for the fiscal years ending December 31, 202</w:t>
      </w:r>
      <w:r w:rsidR="0082578F">
        <w:rPr>
          <w:rFonts w:asciiTheme="minorHAnsi" w:hAnsiTheme="minorHAnsi" w:cstheme="minorHAnsi"/>
          <w:i/>
          <w:iCs/>
          <w:sz w:val="20"/>
        </w:rPr>
        <w:t>4</w:t>
      </w:r>
      <w:r w:rsidRPr="00F57B9C">
        <w:rPr>
          <w:rFonts w:asciiTheme="minorHAnsi" w:hAnsiTheme="minorHAnsi" w:cstheme="minorHAnsi"/>
          <w:i/>
          <w:iCs/>
          <w:sz w:val="20"/>
        </w:rPr>
        <w:t xml:space="preserve"> (“FY2</w:t>
      </w:r>
      <w:r w:rsidR="0082578F">
        <w:rPr>
          <w:rFonts w:asciiTheme="minorHAnsi" w:hAnsiTheme="minorHAnsi" w:cstheme="minorHAnsi"/>
          <w:i/>
          <w:iCs/>
          <w:sz w:val="20"/>
        </w:rPr>
        <w:t>4</w:t>
      </w:r>
      <w:r w:rsidRPr="00F57B9C">
        <w:rPr>
          <w:rFonts w:asciiTheme="minorHAnsi" w:hAnsiTheme="minorHAnsi" w:cstheme="minorHAnsi"/>
          <w:i/>
          <w:iCs/>
          <w:sz w:val="20"/>
        </w:rPr>
        <w:t>F”), 202</w:t>
      </w:r>
      <w:r w:rsidR="00F769DE">
        <w:rPr>
          <w:rFonts w:asciiTheme="minorHAnsi" w:hAnsiTheme="minorHAnsi" w:cstheme="minorHAnsi"/>
          <w:i/>
          <w:iCs/>
          <w:sz w:val="20"/>
        </w:rPr>
        <w:t>5</w:t>
      </w:r>
      <w:r w:rsidRPr="00F57B9C">
        <w:rPr>
          <w:rFonts w:asciiTheme="minorHAnsi" w:hAnsiTheme="minorHAnsi" w:cstheme="minorHAnsi"/>
          <w:i/>
          <w:iCs/>
          <w:sz w:val="20"/>
        </w:rPr>
        <w:t xml:space="preserve"> (“FY2</w:t>
      </w:r>
      <w:r w:rsidR="00F769DE">
        <w:rPr>
          <w:rFonts w:asciiTheme="minorHAnsi" w:hAnsiTheme="minorHAnsi" w:cstheme="minorHAnsi"/>
          <w:i/>
          <w:iCs/>
          <w:sz w:val="20"/>
        </w:rPr>
        <w:t>5</w:t>
      </w:r>
      <w:r w:rsidRPr="00F57B9C">
        <w:rPr>
          <w:rFonts w:asciiTheme="minorHAnsi" w:hAnsiTheme="minorHAnsi" w:cstheme="minorHAnsi"/>
          <w:i/>
          <w:iCs/>
          <w:sz w:val="20"/>
        </w:rPr>
        <w:t>F”), and 202</w:t>
      </w:r>
      <w:r w:rsidR="00F769DE">
        <w:rPr>
          <w:rFonts w:asciiTheme="minorHAnsi" w:hAnsiTheme="minorHAnsi" w:cstheme="minorHAnsi"/>
          <w:i/>
          <w:iCs/>
          <w:sz w:val="20"/>
        </w:rPr>
        <w:t>6</w:t>
      </w:r>
      <w:r w:rsidRPr="00F57B9C">
        <w:rPr>
          <w:rFonts w:asciiTheme="minorHAnsi" w:hAnsiTheme="minorHAnsi" w:cstheme="minorHAnsi"/>
          <w:i/>
          <w:iCs/>
          <w:sz w:val="20"/>
        </w:rPr>
        <w:t xml:space="preserve"> (“FY</w:t>
      </w:r>
      <w:r w:rsidR="00F769DE">
        <w:rPr>
          <w:rFonts w:asciiTheme="minorHAnsi" w:hAnsiTheme="minorHAnsi" w:cstheme="minorHAnsi"/>
          <w:i/>
          <w:iCs/>
          <w:sz w:val="20"/>
        </w:rPr>
        <w:t>26F</w:t>
      </w:r>
      <w:r w:rsidRPr="00F57B9C">
        <w:rPr>
          <w:rFonts w:asciiTheme="minorHAnsi" w:hAnsiTheme="minorHAnsi" w:cstheme="minorHAnsi"/>
          <w:i/>
          <w:iCs/>
          <w:sz w:val="20"/>
        </w:rPr>
        <w:t>”).</w:t>
      </w:r>
    </w:p>
    <w:p w14:paraId="7D25F620" w14:textId="77777777" w:rsidR="003C4524" w:rsidRPr="00F57B9C" w:rsidRDefault="003C4524" w:rsidP="00783715">
      <w:pPr>
        <w:pStyle w:val="BodyText"/>
        <w:spacing w:line="260" w:lineRule="exact"/>
        <w:rPr>
          <w:rFonts w:asciiTheme="minorHAnsi" w:hAnsiTheme="minorHAnsi" w:cstheme="minorHAnsi"/>
          <w:i/>
          <w:iCs/>
          <w:sz w:val="20"/>
        </w:rPr>
      </w:pPr>
      <w:r w:rsidRPr="00F57B9C">
        <w:rPr>
          <w:rFonts w:asciiTheme="minorHAnsi" w:hAnsiTheme="minorHAnsi" w:cstheme="minorHAnsi"/>
          <w:i/>
          <w:iCs/>
          <w:sz w:val="20"/>
        </w:rPr>
        <w:t>Our analyses and findings will be limited based on the quality and extent of information provided and by the level of cooperation of the seller, its advisors, and management of the businesses included in our scope.</w:t>
      </w:r>
    </w:p>
    <w:p w14:paraId="34601872" w14:textId="77777777" w:rsidR="003C4524" w:rsidRPr="00F92212" w:rsidRDefault="003C4524" w:rsidP="00783715">
      <w:pPr>
        <w:pStyle w:val="BodyText"/>
        <w:numPr>
          <w:ilvl w:val="0"/>
          <w:numId w:val="3"/>
        </w:numPr>
        <w:spacing w:line="260" w:lineRule="exact"/>
        <w:rPr>
          <w:rFonts w:asciiTheme="minorHAnsi" w:hAnsiTheme="minorHAnsi" w:cstheme="minorHAnsi"/>
          <w:b/>
          <w:bCs/>
          <w:sz w:val="20"/>
        </w:rPr>
      </w:pPr>
      <w:r w:rsidRPr="00F92212">
        <w:rPr>
          <w:rFonts w:asciiTheme="minorHAnsi" w:hAnsiTheme="minorHAnsi" w:cstheme="minorHAnsi"/>
          <w:b/>
          <w:bCs/>
          <w:sz w:val="20"/>
        </w:rPr>
        <w:t>Basis of preparation and quality of financial information</w:t>
      </w:r>
    </w:p>
    <w:p w14:paraId="659699C4"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 xml:space="preserve">Interview management, read presentations and other relevant documentation provided by management, and prepare a summary of the background of each of the assets, a description of the recent reorganization, and the operational history and financial </w:t>
      </w:r>
      <w:proofErr w:type="gramStart"/>
      <w:r w:rsidRPr="00FF7051">
        <w:rPr>
          <w:rFonts w:asciiTheme="minorHAnsi" w:hAnsiTheme="minorHAnsi" w:cstheme="minorHAnsi"/>
          <w:sz w:val="20"/>
        </w:rPr>
        <w:t>performance;</w:t>
      </w:r>
      <w:proofErr w:type="gramEnd"/>
    </w:p>
    <w:p w14:paraId="5D95D190"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 xml:space="preserve">Comment on significant accounting policies and their consistent application during the period under review and comment on any change in accounting policies and/or </w:t>
      </w:r>
      <w:proofErr w:type="gramStart"/>
      <w:r w:rsidRPr="00FF7051">
        <w:rPr>
          <w:rFonts w:asciiTheme="minorHAnsi" w:hAnsiTheme="minorHAnsi" w:cstheme="minorHAnsi"/>
          <w:sz w:val="20"/>
        </w:rPr>
        <w:t>auditors;</w:t>
      </w:r>
      <w:proofErr w:type="gramEnd"/>
    </w:p>
    <w:p w14:paraId="57956797"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Comment on the status of any financial statements provided (e.g. audited, reviewed, unaudited, IFRS, etc.</w:t>
      </w:r>
      <w:proofErr w:type="gramStart"/>
      <w:r w:rsidRPr="00FF7051">
        <w:rPr>
          <w:rFonts w:asciiTheme="minorHAnsi" w:hAnsiTheme="minorHAnsi" w:cstheme="minorHAnsi"/>
          <w:sz w:val="20"/>
        </w:rPr>
        <w:t>);</w:t>
      </w:r>
      <w:proofErr w:type="gramEnd"/>
    </w:p>
    <w:p w14:paraId="19B3E360"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Analyze the financial information made available and reconcile to the audited financial statements; and</w:t>
      </w:r>
    </w:p>
    <w:p w14:paraId="25269359" w14:textId="77777777" w:rsidR="003C4524" w:rsidRPr="00FF7051" w:rsidRDefault="003C4524" w:rsidP="00783715">
      <w:pPr>
        <w:pStyle w:val="BodyText"/>
        <w:numPr>
          <w:ilvl w:val="0"/>
          <w:numId w:val="4"/>
        </w:numPr>
        <w:spacing w:line="260" w:lineRule="exact"/>
        <w:rPr>
          <w:rFonts w:asciiTheme="minorHAnsi" w:hAnsiTheme="minorHAnsi" w:cstheme="minorHAnsi"/>
          <w:sz w:val="20"/>
        </w:rPr>
      </w:pPr>
      <w:r w:rsidRPr="00FF7051">
        <w:rPr>
          <w:rFonts w:asciiTheme="minorHAnsi" w:hAnsiTheme="minorHAnsi" w:cstheme="minorHAnsi"/>
          <w:sz w:val="20"/>
        </w:rPr>
        <w:t>Comment on the financial reporting system and procedures in place enabling management to control the business.</w:t>
      </w:r>
    </w:p>
    <w:p w14:paraId="53EF7D05" w14:textId="77777777" w:rsidR="003C4524" w:rsidRPr="00F92212" w:rsidRDefault="003C4524" w:rsidP="00783715">
      <w:pPr>
        <w:pStyle w:val="BodyText"/>
        <w:numPr>
          <w:ilvl w:val="0"/>
          <w:numId w:val="3"/>
        </w:numPr>
        <w:spacing w:line="260" w:lineRule="exact"/>
        <w:rPr>
          <w:rFonts w:asciiTheme="minorHAnsi" w:hAnsiTheme="minorHAnsi" w:cstheme="minorHAnsi"/>
          <w:b/>
          <w:bCs/>
          <w:sz w:val="20"/>
        </w:rPr>
      </w:pPr>
      <w:r w:rsidRPr="00F92212">
        <w:rPr>
          <w:rFonts w:asciiTheme="minorHAnsi" w:hAnsiTheme="minorHAnsi" w:cstheme="minorHAnsi"/>
          <w:b/>
          <w:bCs/>
          <w:sz w:val="20"/>
        </w:rPr>
        <w:t>Key contract reviews</w:t>
      </w:r>
    </w:p>
    <w:p w14:paraId="259C11CB" w14:textId="77777777" w:rsidR="003C4524" w:rsidRPr="00FF7051" w:rsidRDefault="003C4524" w:rsidP="00783715">
      <w:pPr>
        <w:pStyle w:val="BodyText"/>
        <w:numPr>
          <w:ilvl w:val="0"/>
          <w:numId w:val="5"/>
        </w:numPr>
        <w:spacing w:line="260" w:lineRule="exact"/>
        <w:rPr>
          <w:rFonts w:asciiTheme="minorHAnsi" w:hAnsiTheme="minorHAnsi" w:cstheme="minorHAnsi"/>
          <w:sz w:val="20"/>
        </w:rPr>
      </w:pPr>
      <w:r w:rsidRPr="00FF7051">
        <w:rPr>
          <w:rFonts w:asciiTheme="minorHAnsi" w:hAnsiTheme="minorHAnsi" w:cstheme="minorHAnsi"/>
          <w:sz w:val="20"/>
        </w:rPr>
        <w:t xml:space="preserve">Understand and summarize the terms (including distribution rights) of the shares of the </w:t>
      </w:r>
      <w:proofErr w:type="spellStart"/>
      <w:r w:rsidRPr="00FF7051">
        <w:rPr>
          <w:rFonts w:asciiTheme="minorHAnsi" w:hAnsiTheme="minorHAnsi" w:cstheme="minorHAnsi"/>
          <w:sz w:val="20"/>
        </w:rPr>
        <w:t>HoldCos</w:t>
      </w:r>
      <w:proofErr w:type="spellEnd"/>
      <w:r w:rsidRPr="00FF7051">
        <w:rPr>
          <w:rFonts w:asciiTheme="minorHAnsi" w:hAnsiTheme="minorHAnsi" w:cstheme="minorHAnsi"/>
          <w:sz w:val="20"/>
        </w:rPr>
        <w:t xml:space="preserve"> which are included in the </w:t>
      </w:r>
      <w:proofErr w:type="gramStart"/>
      <w:r w:rsidRPr="00FF7051">
        <w:rPr>
          <w:rFonts w:asciiTheme="minorHAnsi" w:hAnsiTheme="minorHAnsi" w:cstheme="minorHAnsi"/>
          <w:sz w:val="20"/>
        </w:rPr>
        <w:t>Transaction;</w:t>
      </w:r>
      <w:proofErr w:type="gramEnd"/>
    </w:p>
    <w:p w14:paraId="6F635E94" w14:textId="77777777" w:rsidR="003C4524" w:rsidRPr="00FF7051" w:rsidRDefault="003C4524" w:rsidP="00783715">
      <w:pPr>
        <w:pStyle w:val="BodyText"/>
        <w:numPr>
          <w:ilvl w:val="0"/>
          <w:numId w:val="5"/>
        </w:numPr>
        <w:spacing w:line="260" w:lineRule="exact"/>
        <w:rPr>
          <w:rFonts w:asciiTheme="minorHAnsi" w:hAnsiTheme="minorHAnsi" w:cstheme="minorHAnsi"/>
          <w:sz w:val="20"/>
        </w:rPr>
      </w:pPr>
      <w:r w:rsidRPr="00FF7051">
        <w:rPr>
          <w:rFonts w:asciiTheme="minorHAnsi" w:hAnsiTheme="minorHAnsi" w:cstheme="minorHAnsi"/>
          <w:sz w:val="20"/>
        </w:rPr>
        <w:t>Obtain and read the power purchase agreements (“PPAs”) and summarize the key financial terms; and</w:t>
      </w:r>
    </w:p>
    <w:p w14:paraId="523038B1" w14:textId="77777777" w:rsidR="003C4524" w:rsidRPr="00FF7051" w:rsidRDefault="003C4524" w:rsidP="00783715">
      <w:pPr>
        <w:pStyle w:val="BodyText"/>
        <w:numPr>
          <w:ilvl w:val="0"/>
          <w:numId w:val="5"/>
        </w:numPr>
        <w:spacing w:line="260" w:lineRule="exact"/>
        <w:rPr>
          <w:rFonts w:asciiTheme="minorHAnsi" w:hAnsiTheme="minorHAnsi" w:cstheme="minorHAnsi"/>
          <w:sz w:val="20"/>
        </w:rPr>
      </w:pPr>
      <w:r w:rsidRPr="00FF7051">
        <w:rPr>
          <w:rFonts w:asciiTheme="minorHAnsi" w:hAnsiTheme="minorHAnsi" w:cstheme="minorHAnsi"/>
          <w:sz w:val="20"/>
        </w:rPr>
        <w:t>Understand the financial terms of the operations and maintenance (“O&amp;M”) contracts of the power generation facilities.</w:t>
      </w:r>
    </w:p>
    <w:p w14:paraId="1EFBD1EB" w14:textId="77777777" w:rsidR="003C4524" w:rsidRPr="00F92212" w:rsidRDefault="003C4524" w:rsidP="00783715">
      <w:pPr>
        <w:pStyle w:val="BodyText"/>
        <w:numPr>
          <w:ilvl w:val="0"/>
          <w:numId w:val="3"/>
        </w:numPr>
        <w:spacing w:line="260" w:lineRule="exact"/>
        <w:rPr>
          <w:rFonts w:asciiTheme="minorHAnsi" w:hAnsiTheme="minorHAnsi" w:cstheme="minorHAnsi"/>
          <w:b/>
          <w:bCs/>
          <w:sz w:val="20"/>
        </w:rPr>
      </w:pPr>
      <w:r w:rsidRPr="00F92212">
        <w:rPr>
          <w:rFonts w:asciiTheme="minorHAnsi" w:hAnsiTheme="minorHAnsi" w:cstheme="minorHAnsi"/>
          <w:b/>
          <w:bCs/>
          <w:sz w:val="20"/>
        </w:rPr>
        <w:t>Profit and loss analysis (to the extent information is made available)</w:t>
      </w:r>
    </w:p>
    <w:p w14:paraId="3DB0E243" w14:textId="77777777" w:rsidR="003C4524" w:rsidRPr="00FF7051" w:rsidRDefault="003C4524" w:rsidP="00783715">
      <w:pPr>
        <w:pStyle w:val="BodyText"/>
        <w:numPr>
          <w:ilvl w:val="0"/>
          <w:numId w:val="6"/>
        </w:numPr>
        <w:spacing w:before="0" w:after="0" w:line="260" w:lineRule="exact"/>
        <w:rPr>
          <w:rFonts w:asciiTheme="minorHAnsi" w:hAnsiTheme="minorHAnsi" w:cstheme="minorHAnsi"/>
          <w:sz w:val="20"/>
        </w:rPr>
      </w:pPr>
      <w:r w:rsidRPr="00FF7051">
        <w:rPr>
          <w:rFonts w:asciiTheme="minorHAnsi" w:hAnsiTheme="minorHAnsi" w:cstheme="minorHAnsi"/>
          <w:sz w:val="20"/>
        </w:rPr>
        <w:t>Obtain and analyze monthly revenues and inquire about:</w:t>
      </w:r>
    </w:p>
    <w:p w14:paraId="45E4FF87"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Revenue recognition </w:t>
      </w:r>
      <w:proofErr w:type="gramStart"/>
      <w:r w:rsidRPr="00FF7051">
        <w:rPr>
          <w:rFonts w:asciiTheme="minorHAnsi" w:hAnsiTheme="minorHAnsi" w:cstheme="minorHAnsi"/>
          <w:sz w:val="20"/>
        </w:rPr>
        <w:t>policies;</w:t>
      </w:r>
      <w:proofErr w:type="gramEnd"/>
    </w:p>
    <w:p w14:paraId="7D2BBA0D"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Historical </w:t>
      </w:r>
      <w:proofErr w:type="gramStart"/>
      <w:r w:rsidRPr="00FF7051">
        <w:rPr>
          <w:rFonts w:asciiTheme="minorHAnsi" w:hAnsiTheme="minorHAnsi" w:cstheme="minorHAnsi"/>
          <w:sz w:val="20"/>
        </w:rPr>
        <w:t>tariffs;</w:t>
      </w:r>
      <w:proofErr w:type="gramEnd"/>
    </w:p>
    <w:p w14:paraId="118D8707"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Volume and pricing </w:t>
      </w:r>
      <w:proofErr w:type="gramStart"/>
      <w:r w:rsidRPr="00FF7051">
        <w:rPr>
          <w:rFonts w:asciiTheme="minorHAnsi" w:hAnsiTheme="minorHAnsi" w:cstheme="minorHAnsi"/>
          <w:sz w:val="20"/>
        </w:rPr>
        <w:t>trends;</w:t>
      </w:r>
      <w:proofErr w:type="gramEnd"/>
    </w:p>
    <w:p w14:paraId="7D81C638"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PPA terms such as volume guarantees, pricing terms, termination/renewal dates, existence of change-of-control clauses); and</w:t>
      </w:r>
    </w:p>
    <w:p w14:paraId="769E58C3" w14:textId="77777777" w:rsidR="003C4524" w:rsidRPr="00FF7051" w:rsidRDefault="003C4524" w:rsidP="00783715">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lastRenderedPageBreak/>
        <w:t>Unusual, one-off, and non-recurring revenue items.</w:t>
      </w:r>
    </w:p>
    <w:p w14:paraId="33C02BCC" w14:textId="77777777" w:rsidR="003C4524" w:rsidRPr="00FF7051" w:rsidRDefault="003C4524" w:rsidP="00783715">
      <w:pPr>
        <w:pStyle w:val="BodyText"/>
        <w:numPr>
          <w:ilvl w:val="0"/>
          <w:numId w:val="6"/>
        </w:numPr>
        <w:spacing w:after="0" w:line="260" w:lineRule="exact"/>
        <w:rPr>
          <w:rFonts w:asciiTheme="minorHAnsi" w:hAnsiTheme="minorHAnsi" w:cstheme="minorHAnsi"/>
          <w:sz w:val="20"/>
        </w:rPr>
      </w:pPr>
      <w:r w:rsidRPr="00FF7051">
        <w:rPr>
          <w:rFonts w:asciiTheme="minorHAnsi" w:hAnsiTheme="minorHAnsi" w:cstheme="minorHAnsi"/>
          <w:sz w:val="20"/>
        </w:rPr>
        <w:t>Obtain and analyze operating costs and expenses and inquire about:</w:t>
      </w:r>
    </w:p>
    <w:p w14:paraId="6E5D0DCB"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Key operating expenditures, composition, and </w:t>
      </w:r>
      <w:proofErr w:type="gramStart"/>
      <w:r w:rsidRPr="00FF7051">
        <w:rPr>
          <w:rFonts w:asciiTheme="minorHAnsi" w:hAnsiTheme="minorHAnsi" w:cstheme="minorHAnsi"/>
          <w:sz w:val="20"/>
        </w:rPr>
        <w:t>trends;</w:t>
      </w:r>
      <w:proofErr w:type="gramEnd"/>
    </w:p>
    <w:p w14:paraId="02E7190A"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Related party </w:t>
      </w:r>
      <w:proofErr w:type="gramStart"/>
      <w:r w:rsidRPr="00FF7051">
        <w:rPr>
          <w:rFonts w:asciiTheme="minorHAnsi" w:hAnsiTheme="minorHAnsi" w:cstheme="minorHAnsi"/>
          <w:sz w:val="20"/>
        </w:rPr>
        <w:t>transactions;</w:t>
      </w:r>
      <w:proofErr w:type="gramEnd"/>
    </w:p>
    <w:p w14:paraId="76B84482"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Headcount and payroll costs; and</w:t>
      </w:r>
    </w:p>
    <w:p w14:paraId="1629320E" w14:textId="77777777" w:rsidR="003C4524" w:rsidRPr="00FF7051" w:rsidRDefault="003C4524" w:rsidP="00783715">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Unusual, one-off, and non-recurring cost/expense items.</w:t>
      </w:r>
    </w:p>
    <w:p w14:paraId="45721309" w14:textId="77777777" w:rsidR="00423A3A" w:rsidRDefault="00423A3A" w:rsidP="00783715">
      <w:pPr>
        <w:pStyle w:val="BodyText"/>
        <w:spacing w:before="0" w:after="0" w:line="260" w:lineRule="exact"/>
        <w:ind w:left="720"/>
        <w:rPr>
          <w:rFonts w:asciiTheme="minorHAnsi" w:hAnsiTheme="minorHAnsi" w:cstheme="minorHAnsi"/>
          <w:sz w:val="20"/>
        </w:rPr>
      </w:pPr>
    </w:p>
    <w:p w14:paraId="445112D7" w14:textId="77777777" w:rsidR="003C4524" w:rsidRPr="00FF7051" w:rsidRDefault="003C4524" w:rsidP="00783715">
      <w:pPr>
        <w:pStyle w:val="BodyText"/>
        <w:numPr>
          <w:ilvl w:val="0"/>
          <w:numId w:val="6"/>
        </w:numPr>
        <w:spacing w:before="0" w:after="0" w:line="260" w:lineRule="exact"/>
        <w:rPr>
          <w:rFonts w:asciiTheme="minorHAnsi" w:hAnsiTheme="minorHAnsi" w:cstheme="minorHAnsi"/>
          <w:sz w:val="20"/>
        </w:rPr>
      </w:pPr>
      <w:r w:rsidRPr="00FF7051">
        <w:rPr>
          <w:rFonts w:asciiTheme="minorHAnsi" w:hAnsiTheme="minorHAnsi" w:cstheme="minorHAnsi"/>
          <w:sz w:val="20"/>
        </w:rPr>
        <w:t>Obtain and analyze non-operating income and expenses and inquire about:</w:t>
      </w:r>
    </w:p>
    <w:p w14:paraId="754CA263" w14:textId="77777777" w:rsidR="003C4524"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Composition and </w:t>
      </w:r>
      <w:proofErr w:type="gramStart"/>
      <w:r w:rsidRPr="00FF7051">
        <w:rPr>
          <w:rFonts w:asciiTheme="minorHAnsi" w:hAnsiTheme="minorHAnsi" w:cstheme="minorHAnsi"/>
          <w:sz w:val="20"/>
        </w:rPr>
        <w:t>trends;</w:t>
      </w:r>
      <w:proofErr w:type="gramEnd"/>
    </w:p>
    <w:p w14:paraId="17FE9977" w14:textId="77777777" w:rsidR="003C4524"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Financing </w:t>
      </w:r>
      <w:proofErr w:type="gramStart"/>
      <w:r w:rsidRPr="00FF7051">
        <w:rPr>
          <w:rFonts w:asciiTheme="minorHAnsi" w:hAnsiTheme="minorHAnsi" w:cstheme="minorHAnsi"/>
          <w:sz w:val="20"/>
        </w:rPr>
        <w:t>costs;</w:t>
      </w:r>
      <w:proofErr w:type="gramEnd"/>
    </w:p>
    <w:p w14:paraId="1D523A7B" w14:textId="77777777" w:rsidR="003C4524"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Related party transactions; and</w:t>
      </w:r>
    </w:p>
    <w:p w14:paraId="769A48C3" w14:textId="77777777" w:rsidR="001C37BA" w:rsidRPr="00FF7051" w:rsidRDefault="003C4524" w:rsidP="00783715">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The existence of potential recurring operational items.</w:t>
      </w:r>
    </w:p>
    <w:p w14:paraId="17E65701" w14:textId="77777777" w:rsidR="003A3733" w:rsidRPr="00FF7051" w:rsidRDefault="003A3733" w:rsidP="00783715">
      <w:pPr>
        <w:pStyle w:val="BodyText"/>
        <w:spacing w:line="260" w:lineRule="exact"/>
        <w:rPr>
          <w:rFonts w:asciiTheme="minorHAnsi" w:hAnsiTheme="minorHAnsi" w:cstheme="minorHAnsi"/>
          <w:sz w:val="20"/>
        </w:rPr>
      </w:pPr>
    </w:p>
    <w:p w14:paraId="7AA48612" w14:textId="77777777" w:rsidR="003A3733" w:rsidRPr="00FF7051" w:rsidRDefault="003A3733" w:rsidP="00783715">
      <w:pPr>
        <w:pStyle w:val="BodyText"/>
        <w:spacing w:line="260" w:lineRule="exact"/>
        <w:rPr>
          <w:rFonts w:asciiTheme="minorHAnsi" w:hAnsiTheme="minorHAnsi" w:cstheme="minorHAnsi"/>
          <w:sz w:val="20"/>
        </w:rPr>
      </w:pPr>
    </w:p>
    <w:p w14:paraId="14B85009" w14:textId="77777777" w:rsidR="003A3733" w:rsidRPr="00FF7051" w:rsidRDefault="003A3733" w:rsidP="00783715">
      <w:pPr>
        <w:pStyle w:val="BodyText"/>
        <w:spacing w:line="260" w:lineRule="exact"/>
        <w:rPr>
          <w:rFonts w:asciiTheme="minorHAnsi" w:hAnsiTheme="minorHAnsi" w:cstheme="minorHAnsi"/>
          <w:sz w:val="20"/>
        </w:rPr>
      </w:pP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Pr>
          <w:bCs/>
        </w:rPr>
      </w:r>
      <w:r w:rsidR="00783715">
        <w:rPr>
          <w:bCs/>
        </w:rPr>
        <w:instrText xml:space="preserve"> \* MERGEFORMAT </w:instrText>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sidR="00783715">
        <w:rPr>
          <w:bCs/>
        </w:rPr>
        <w:instrText xml:space="preserve"> \* MERGEFORMAT </w:instrText>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xml:space="preserve">) confidential protection </w:t>
      </w:r>
      <w:r w:rsidRPr="000B6BBB">
        <w:lastRenderedPageBreak/>
        <w:t>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C22DC" w14:textId="77777777" w:rsidR="009778B1" w:rsidRDefault="009778B1">
      <w:pPr>
        <w:pStyle w:val="BodyText"/>
      </w:pPr>
      <w:r>
        <w:separator/>
      </w:r>
    </w:p>
  </w:endnote>
  <w:endnote w:type="continuationSeparator" w:id="0">
    <w:p w14:paraId="5B64DA70" w14:textId="77777777" w:rsidR="009778B1" w:rsidRDefault="009778B1">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3EBB" w14:textId="77777777" w:rsidR="009778B1" w:rsidRDefault="009778B1">
      <w:pPr>
        <w:pStyle w:val="BodyText"/>
      </w:pPr>
      <w:r>
        <w:separator/>
      </w:r>
    </w:p>
  </w:footnote>
  <w:footnote w:type="continuationSeparator" w:id="0">
    <w:p w14:paraId="2777095C" w14:textId="77777777" w:rsidR="009778B1" w:rsidRDefault="009778B1">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2E4C"/>
    <w:rsid w:val="006A33CF"/>
    <w:rsid w:val="006A6B5A"/>
    <w:rsid w:val="006B3C31"/>
    <w:rsid w:val="006D2561"/>
    <w:rsid w:val="006D4E96"/>
    <w:rsid w:val="006D6BB5"/>
    <w:rsid w:val="006E370C"/>
    <w:rsid w:val="006E5CAA"/>
    <w:rsid w:val="006F13C1"/>
    <w:rsid w:val="006F14DA"/>
    <w:rsid w:val="006F2BBB"/>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10181</Words>
  <Characters>56102</Characters>
  <Application>Microsoft Office Word</Application>
  <DocSecurity>0</DocSecurity>
  <Lines>758</Lines>
  <Paragraphs>343</Paragraphs>
  <ScaleCrop>false</ScaleCrop>
  <Company/>
  <LinksUpToDate>false</LinksUpToDate>
  <CharactersWithSpaces>65940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13</cp:revision>
  <dcterms:created xsi:type="dcterms:W3CDTF">2025-05-24T02:22:00Z</dcterms:created>
  <dcterms:modified xsi:type="dcterms:W3CDTF">2026-02-03T20:46:00Z</dcterms:modified>
  <cp:category/>
</cp:coreProperties>
</file>