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4E62AD92" w14:textId="6476E8FC"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 xml:space="preserve">Our procedures will be performed on the following </w:t>
      </w:r>
      <w:r w:rsidR="00790C7E">
        <w:rPr>
          <w:rFonts w:asciiTheme="minorHAnsi" w:hAnsiTheme="minorHAnsi" w:cstheme="minorHAnsi"/>
          <w:i/>
          <w:iCs/>
          <w:sz w:val="20"/>
        </w:rPr>
        <w:t>[subsidiaries of Client]</w:t>
      </w:r>
      <w:r w:rsidR="00FA7F25">
        <w:rPr>
          <w:rFonts w:asciiTheme="minorHAnsi" w:hAnsiTheme="minorHAnsi" w:cstheme="minorHAnsi"/>
          <w:i/>
          <w:iCs/>
          <w:sz w:val="20"/>
        </w:rPr>
        <w:t xml:space="preserve"> (“</w:t>
      </w:r>
      <w:r w:rsidR="00FA7F25" w:rsidRPr="00632211">
        <w:rPr>
          <w:rFonts w:asciiTheme="minorHAnsi" w:hAnsiTheme="minorHAnsi" w:cstheme="minorHAnsi"/>
          <w:b/>
          <w:bCs/>
          <w:i/>
          <w:iCs/>
          <w:sz w:val="20"/>
        </w:rPr>
        <w:t>Target</w:t>
      </w:r>
      <w:r w:rsidR="00FA7F25">
        <w:rPr>
          <w:rFonts w:asciiTheme="minorHAnsi" w:hAnsiTheme="minorHAnsi" w:cstheme="minorHAnsi"/>
          <w:i/>
          <w:iCs/>
          <w:sz w:val="20"/>
        </w:rPr>
        <w:t>”)</w:t>
      </w:r>
      <w:r w:rsidRPr="00FA7F25">
        <w:rPr>
          <w:rFonts w:asciiTheme="minorHAnsi" w:hAnsiTheme="minorHAnsi" w:cstheme="minorHAnsi"/>
          <w:i/>
          <w:iCs/>
          <w:sz w:val="20"/>
        </w:rPr>
        <w:t>:</w:t>
      </w:r>
    </w:p>
    <w:p w14:paraId="6B594375"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5A7DCC4C"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271375EC"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309FB14E" w14:textId="77777777" w:rsidR="00790C7E" w:rsidRPr="00FA7F25" w:rsidRDefault="00790C7E" w:rsidP="00790C7E">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0E2133A9" w14:textId="259D7061"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We will focus on the financial information of the entities above (on an individual and combined basis) for the last three fiscal years ended July 31, 2022 (“FY22”), 2023 (“FY23”), and 2024 (“FY24”) and the budget for the fiscal year ending July 31, 2025 (“FY25b”).</w:t>
      </w:r>
    </w:p>
    <w:p w14:paraId="2AC78900" w14:textId="77F1A597" w:rsidR="00A602E3" w:rsidRPr="00A602E3" w:rsidRDefault="00A602E3" w:rsidP="00F27894">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Overview</w:t>
      </w:r>
    </w:p>
    <w:p w14:paraId="43DF9E17" w14:textId="19B32B2E" w:rsidR="00A602E3" w:rsidRPr="00F27894" w:rsidRDefault="00A602E3" w:rsidP="00790C7E">
      <w:pPr>
        <w:pStyle w:val="BodyText"/>
        <w:spacing w:line="260" w:lineRule="exact"/>
        <w:ind w:left="360"/>
        <w:rPr>
          <w:rFonts w:asciiTheme="minorHAnsi" w:hAnsiTheme="minorHAnsi" w:cstheme="minorHAnsi"/>
          <w:sz w:val="20"/>
        </w:rPr>
      </w:pPr>
      <w:r w:rsidRPr="00F27894">
        <w:rPr>
          <w:rFonts w:asciiTheme="minorHAnsi" w:hAnsiTheme="minorHAnsi" w:cstheme="minorHAnsi"/>
          <w:sz w:val="20"/>
        </w:rPr>
        <w:t xml:space="preserve">Meet with </w:t>
      </w:r>
      <w:r w:rsidR="00F27894">
        <w:rPr>
          <w:rFonts w:asciiTheme="minorHAnsi" w:hAnsiTheme="minorHAnsi" w:cstheme="minorHAnsi"/>
          <w:sz w:val="20"/>
        </w:rPr>
        <w:t>Target’s</w:t>
      </w:r>
      <w:r w:rsidRPr="00F27894">
        <w:rPr>
          <w:rFonts w:asciiTheme="minorHAnsi" w:hAnsiTheme="minorHAnsi" w:cstheme="minorHAnsi"/>
          <w:sz w:val="20"/>
        </w:rPr>
        <w:t xml:space="preserve"> officers and management </w:t>
      </w:r>
      <w:proofErr w:type="gramStart"/>
      <w:r w:rsidRPr="00F27894">
        <w:rPr>
          <w:rFonts w:asciiTheme="minorHAnsi" w:hAnsiTheme="minorHAnsi" w:cstheme="minorHAnsi"/>
          <w:sz w:val="20"/>
        </w:rPr>
        <w:t>in order to</w:t>
      </w:r>
      <w:proofErr w:type="gramEnd"/>
      <w:r w:rsidRPr="00F27894">
        <w:rPr>
          <w:rFonts w:asciiTheme="minorHAnsi" w:hAnsiTheme="minorHAnsi" w:cstheme="minorHAnsi"/>
          <w:sz w:val="20"/>
        </w:rPr>
        <w:t xml:space="preserve"> develop an understanding of </w:t>
      </w:r>
      <w:r w:rsidR="00F27894">
        <w:rPr>
          <w:rFonts w:asciiTheme="minorHAnsi" w:hAnsiTheme="minorHAnsi" w:cstheme="minorHAnsi"/>
          <w:sz w:val="20"/>
        </w:rPr>
        <w:t>Target</w:t>
      </w:r>
      <w:r w:rsidRPr="00F27894">
        <w:rPr>
          <w:rFonts w:asciiTheme="minorHAnsi" w:hAnsiTheme="minorHAnsi" w:cstheme="minorHAnsi"/>
          <w:sz w:val="20"/>
        </w:rPr>
        <w:t>, including its:</w:t>
      </w:r>
    </w:p>
    <w:p w14:paraId="74C0B111" w14:textId="67C74C26"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History, organization structure, proposed transaction perimeter and management reporting </w:t>
      </w:r>
      <w:proofErr w:type="gramStart"/>
      <w:r w:rsidRPr="00F27894">
        <w:rPr>
          <w:rFonts w:asciiTheme="minorHAnsi" w:hAnsiTheme="minorHAnsi" w:cstheme="minorHAnsi"/>
          <w:sz w:val="20"/>
        </w:rPr>
        <w:t>relationships;</w:t>
      </w:r>
      <w:proofErr w:type="gramEnd"/>
    </w:p>
    <w:p w14:paraId="1F55DBC7" w14:textId="0BEEC403"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Inter</w:t>
      </w:r>
      <w:r w:rsidR="00F27894">
        <w:rPr>
          <w:rFonts w:asciiTheme="minorHAnsi" w:hAnsiTheme="minorHAnsi" w:cstheme="minorHAnsi"/>
          <w:sz w:val="20"/>
        </w:rPr>
        <w:t>company</w:t>
      </w:r>
      <w:r w:rsidRPr="00F27894">
        <w:rPr>
          <w:rFonts w:asciiTheme="minorHAnsi" w:hAnsiTheme="minorHAnsi" w:cstheme="minorHAnsi"/>
          <w:sz w:val="20"/>
        </w:rPr>
        <w:t xml:space="preserve"> operations and allocation of corporate </w:t>
      </w:r>
      <w:proofErr w:type="gramStart"/>
      <w:r w:rsidRPr="00F27894">
        <w:rPr>
          <w:rFonts w:asciiTheme="minorHAnsi" w:hAnsiTheme="minorHAnsi" w:cstheme="minorHAnsi"/>
          <w:sz w:val="20"/>
        </w:rPr>
        <w:t>overheads;</w:t>
      </w:r>
      <w:proofErr w:type="gramEnd"/>
    </w:p>
    <w:p w14:paraId="3BDD2BD9" w14:textId="61E26055"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Production sites/ lines capacity, utilization </w:t>
      </w:r>
      <w:proofErr w:type="gramStart"/>
      <w:r w:rsidRPr="00F27894">
        <w:rPr>
          <w:rFonts w:asciiTheme="minorHAnsi" w:hAnsiTheme="minorHAnsi" w:cstheme="minorHAnsi"/>
          <w:sz w:val="20"/>
        </w:rPr>
        <w:t>rates;</w:t>
      </w:r>
      <w:proofErr w:type="gramEnd"/>
    </w:p>
    <w:p w14:paraId="2EE7F368" w14:textId="44969464"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Details of pricing methodology; key contractual terms with key customers (incl. ability to pass cost increases to customers</w:t>
      </w:r>
      <w:proofErr w:type="gramStart"/>
      <w:r w:rsidRPr="00F27894">
        <w:rPr>
          <w:rFonts w:asciiTheme="minorHAnsi" w:hAnsiTheme="minorHAnsi" w:cstheme="minorHAnsi"/>
          <w:sz w:val="20"/>
        </w:rPr>
        <w:t>);</w:t>
      </w:r>
      <w:proofErr w:type="gramEnd"/>
    </w:p>
    <w:p w14:paraId="1371B2E0" w14:textId="5FC78F4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Range of suppliers, significant dependencies; key contractual terms; price volatility for key materials; inventory levels and </w:t>
      </w:r>
      <w:proofErr w:type="gramStart"/>
      <w:r w:rsidRPr="00F27894">
        <w:rPr>
          <w:rFonts w:asciiTheme="minorHAnsi" w:hAnsiTheme="minorHAnsi" w:cstheme="minorHAnsi"/>
          <w:sz w:val="20"/>
        </w:rPr>
        <w:t>turnover;</w:t>
      </w:r>
      <w:proofErr w:type="gramEnd"/>
    </w:p>
    <w:p w14:paraId="0BE809E7" w14:textId="05D1680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Range of customer segments, customer concentration and regions </w:t>
      </w:r>
      <w:proofErr w:type="gramStart"/>
      <w:r w:rsidRPr="00F27894">
        <w:rPr>
          <w:rFonts w:asciiTheme="minorHAnsi" w:hAnsiTheme="minorHAnsi" w:cstheme="minorHAnsi"/>
          <w:sz w:val="20"/>
        </w:rPr>
        <w:t>served;</w:t>
      </w:r>
      <w:proofErr w:type="gramEnd"/>
    </w:p>
    <w:p w14:paraId="5FD0A42E" w14:textId="4D915D7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Key performance metrics used by </w:t>
      </w:r>
      <w:proofErr w:type="gramStart"/>
      <w:r w:rsidRPr="00F27894">
        <w:rPr>
          <w:rFonts w:asciiTheme="minorHAnsi" w:hAnsiTheme="minorHAnsi" w:cstheme="minorHAnsi"/>
          <w:sz w:val="20"/>
        </w:rPr>
        <w:t>management;</w:t>
      </w:r>
      <w:proofErr w:type="gramEnd"/>
    </w:p>
    <w:p w14:paraId="009A4F10" w14:textId="5CBC690A"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Financial reporting framework and information systems; monthly/annual cut-off </w:t>
      </w:r>
      <w:proofErr w:type="gramStart"/>
      <w:r w:rsidRPr="00F27894">
        <w:rPr>
          <w:rFonts w:asciiTheme="minorHAnsi" w:hAnsiTheme="minorHAnsi" w:cstheme="minorHAnsi"/>
          <w:sz w:val="20"/>
        </w:rPr>
        <w:t>process;</w:t>
      </w:r>
      <w:proofErr w:type="gramEnd"/>
    </w:p>
    <w:p w14:paraId="3AD7B8E2" w14:textId="43167C4D" w:rsidR="00A602E3" w:rsidRPr="00F27894" w:rsidRDefault="00A602E3" w:rsidP="00790C7E">
      <w:pPr>
        <w:pStyle w:val="BodyText"/>
        <w:numPr>
          <w:ilvl w:val="0"/>
          <w:numId w:val="25"/>
        </w:numPr>
        <w:spacing w:before="60" w:after="0" w:line="260" w:lineRule="exact"/>
        <w:ind w:left="720"/>
        <w:rPr>
          <w:rFonts w:asciiTheme="minorHAnsi" w:hAnsiTheme="minorHAnsi" w:cstheme="minorHAnsi"/>
          <w:sz w:val="20"/>
        </w:rPr>
      </w:pPr>
      <w:r w:rsidRPr="00F27894">
        <w:rPr>
          <w:rFonts w:asciiTheme="minorHAnsi" w:hAnsiTheme="minorHAnsi" w:cstheme="minorHAnsi"/>
          <w:sz w:val="20"/>
        </w:rPr>
        <w:t xml:space="preserve">Key accounting policies </w:t>
      </w:r>
      <w:proofErr w:type="gramStart"/>
      <w:r w:rsidRPr="00F27894">
        <w:rPr>
          <w:rFonts w:asciiTheme="minorHAnsi" w:hAnsiTheme="minorHAnsi" w:cstheme="minorHAnsi"/>
          <w:sz w:val="20"/>
        </w:rPr>
        <w:t>including:</w:t>
      </w:r>
      <w:proofErr w:type="gramEnd"/>
      <w:r w:rsidRPr="00F27894">
        <w:rPr>
          <w:rFonts w:asciiTheme="minorHAnsi" w:hAnsiTheme="minorHAnsi" w:cstheme="minorHAnsi"/>
          <w:sz w:val="20"/>
        </w:rPr>
        <w:t xml:space="preserve"> revenue recognition, inventory valuation methodologies, costing methodology, warranties, provisions, management estimates, etc.</w:t>
      </w:r>
    </w:p>
    <w:p w14:paraId="53317644" w14:textId="4019308A" w:rsidR="00A602E3" w:rsidRPr="00A602E3" w:rsidRDefault="00A602E3" w:rsidP="009C0B5B">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 analysis</w:t>
      </w:r>
    </w:p>
    <w:p w14:paraId="2B92F728" w14:textId="77777777" w:rsidR="00A602E3" w:rsidRPr="009C0B5B" w:rsidRDefault="00A602E3" w:rsidP="009C0B5B">
      <w:pPr>
        <w:pStyle w:val="BodyText"/>
        <w:spacing w:line="260" w:lineRule="exact"/>
        <w:ind w:left="360"/>
        <w:jc w:val="both"/>
        <w:rPr>
          <w:rFonts w:asciiTheme="minorHAnsi" w:hAnsiTheme="minorHAnsi" w:cstheme="minorHAnsi"/>
          <w:sz w:val="20"/>
        </w:rPr>
      </w:pPr>
      <w:r w:rsidRPr="009C0B5B">
        <w:rPr>
          <w:rFonts w:asciiTheme="minorHAnsi" w:hAnsiTheme="minorHAnsi" w:cstheme="minorHAnsi"/>
          <w:sz w:val="20"/>
        </w:rPr>
        <w:t>Summarize potential adjustments identified regarding the earnings of the Company in the form of a quality of earnings analysis, summarizing the risks that may impact revenue and/or earnings before interest, taxes, depreciation and amortization (“</w:t>
      </w:r>
      <w:r w:rsidRPr="009C0B5B">
        <w:rPr>
          <w:rFonts w:asciiTheme="minorHAnsi" w:hAnsiTheme="minorHAnsi" w:cstheme="minorHAnsi"/>
          <w:b/>
          <w:bCs/>
          <w:sz w:val="20"/>
        </w:rPr>
        <w:t>EBITDA</w:t>
      </w:r>
      <w:r w:rsidRPr="009C0B5B">
        <w:rPr>
          <w:rFonts w:asciiTheme="minorHAnsi" w:hAnsiTheme="minorHAnsi" w:cstheme="minorHAnsi"/>
          <w:sz w:val="20"/>
        </w:rPr>
        <w:t>”) including:</w:t>
      </w:r>
    </w:p>
    <w:p w14:paraId="402074F3" w14:textId="0BF5A3D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Normalization adjustments identified by </w:t>
      </w:r>
      <w:proofErr w:type="gramStart"/>
      <w:r w:rsidR="009C0B5B">
        <w:rPr>
          <w:rFonts w:asciiTheme="minorHAnsi" w:hAnsiTheme="minorHAnsi" w:cstheme="minorHAnsi"/>
          <w:sz w:val="20"/>
        </w:rPr>
        <w:t>m</w:t>
      </w:r>
      <w:r w:rsidRPr="009C0B5B">
        <w:rPr>
          <w:rFonts w:asciiTheme="minorHAnsi" w:hAnsiTheme="minorHAnsi" w:cstheme="minorHAnsi"/>
          <w:sz w:val="20"/>
        </w:rPr>
        <w:t>anagement</w:t>
      </w:r>
      <w:r w:rsidR="009C0B5B">
        <w:rPr>
          <w:rFonts w:asciiTheme="minorHAnsi" w:hAnsiTheme="minorHAnsi" w:cstheme="minorHAnsi"/>
          <w:sz w:val="20"/>
        </w:rPr>
        <w:t>;</w:t>
      </w:r>
      <w:proofErr w:type="gramEnd"/>
    </w:p>
    <w:p w14:paraId="276A75DB" w14:textId="24F7412D"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impact from significant foreign exchange </w:t>
      </w:r>
      <w:proofErr w:type="gramStart"/>
      <w:r w:rsidRPr="009C0B5B">
        <w:rPr>
          <w:rFonts w:asciiTheme="minorHAnsi" w:hAnsiTheme="minorHAnsi" w:cstheme="minorHAnsi"/>
          <w:sz w:val="20"/>
        </w:rPr>
        <w:t>fluctuations;</w:t>
      </w:r>
      <w:proofErr w:type="gramEnd"/>
    </w:p>
    <w:p w14:paraId="3A382222" w14:textId="78F8BFA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non-cash items (i.e., stock-based compensation</w:t>
      </w:r>
      <w:proofErr w:type="gramStart"/>
      <w:r w:rsidRPr="009C0B5B">
        <w:rPr>
          <w:rFonts w:asciiTheme="minorHAnsi" w:hAnsiTheme="minorHAnsi" w:cstheme="minorHAnsi"/>
          <w:sz w:val="20"/>
        </w:rPr>
        <w:t>);</w:t>
      </w:r>
      <w:proofErr w:type="gramEnd"/>
      <w:r w:rsidRPr="009C0B5B">
        <w:rPr>
          <w:rFonts w:asciiTheme="minorHAnsi" w:hAnsiTheme="minorHAnsi" w:cstheme="minorHAnsi"/>
          <w:sz w:val="20"/>
        </w:rPr>
        <w:t xml:space="preserve"> </w:t>
      </w:r>
    </w:p>
    <w:p w14:paraId="16824872" w14:textId="491573AF"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pro forma impact from recent </w:t>
      </w:r>
      <w:proofErr w:type="gramStart"/>
      <w:r w:rsidRPr="009C0B5B">
        <w:rPr>
          <w:rFonts w:asciiTheme="minorHAnsi" w:hAnsiTheme="minorHAnsi" w:cstheme="minorHAnsi"/>
          <w:sz w:val="20"/>
        </w:rPr>
        <w:t>acquisitions;</w:t>
      </w:r>
      <w:proofErr w:type="gramEnd"/>
    </w:p>
    <w:p w14:paraId="7830DDCF" w14:textId="406A10C5"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pro forma impact from significant cost saving initiatives, if </w:t>
      </w:r>
      <w:proofErr w:type="gramStart"/>
      <w:r w:rsidRPr="009C0B5B">
        <w:rPr>
          <w:rFonts w:asciiTheme="minorHAnsi" w:hAnsiTheme="minorHAnsi" w:cstheme="minorHAnsi"/>
          <w:sz w:val="20"/>
        </w:rPr>
        <w:t>any;</w:t>
      </w:r>
      <w:proofErr w:type="gramEnd"/>
    </w:p>
    <w:p w14:paraId="05BA566C" w14:textId="2D2BBCF0"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provisions, management estimates or adjusting entries on reported results; and</w:t>
      </w:r>
    </w:p>
    <w:p w14:paraId="58922967" w14:textId="14C54CE6"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impact of any changes in accounting </w:t>
      </w:r>
      <w:proofErr w:type="gramStart"/>
      <w:r w:rsidRPr="009C0B5B">
        <w:rPr>
          <w:rFonts w:asciiTheme="minorHAnsi" w:hAnsiTheme="minorHAnsi" w:cstheme="minorHAnsi"/>
          <w:sz w:val="20"/>
        </w:rPr>
        <w:t>policies;</w:t>
      </w:r>
      <w:proofErr w:type="gramEnd"/>
    </w:p>
    <w:p w14:paraId="7A4B28C9" w14:textId="56FD1E31"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lastRenderedPageBreak/>
        <w:t xml:space="preserve">Related party transactions and the pricing </w:t>
      </w:r>
      <w:proofErr w:type="gramStart"/>
      <w:r w:rsidRPr="009C0B5B">
        <w:rPr>
          <w:rFonts w:asciiTheme="minorHAnsi" w:hAnsiTheme="minorHAnsi" w:cstheme="minorHAnsi"/>
          <w:sz w:val="20"/>
        </w:rPr>
        <w:t>thereof;</w:t>
      </w:r>
      <w:proofErr w:type="gramEnd"/>
    </w:p>
    <w:p w14:paraId="5AFAA089" w14:textId="0E673FC1" w:rsidR="00A602E3" w:rsidRPr="001A5AB0"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Any other large, unusual or non-recurring events or transactions that may have distorted results and </w:t>
      </w:r>
      <w:r w:rsidR="00AD5F69">
        <w:rPr>
          <w:rFonts w:asciiTheme="minorHAnsi" w:hAnsiTheme="minorHAnsi" w:cstheme="minorHAnsi"/>
          <w:sz w:val="20"/>
        </w:rPr>
        <w:t xml:space="preserve">are </w:t>
      </w:r>
      <w:r w:rsidRPr="009C0B5B">
        <w:rPr>
          <w:rFonts w:asciiTheme="minorHAnsi" w:hAnsiTheme="minorHAnsi" w:cstheme="minorHAnsi"/>
          <w:sz w:val="20"/>
        </w:rPr>
        <w:t>identified during the due diligence process.</w:t>
      </w:r>
    </w:p>
    <w:p w14:paraId="5BED7C23" w14:textId="69EF42A7" w:rsidR="00A602E3" w:rsidRPr="00A602E3" w:rsidRDefault="00A602E3" w:rsidP="00AD5F6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 xml:space="preserve">Revenue, material value </w:t>
      </w:r>
      <w:proofErr w:type="gramStart"/>
      <w:r w:rsidRPr="00A602E3">
        <w:rPr>
          <w:rFonts w:asciiTheme="minorHAnsi" w:hAnsiTheme="minorHAnsi" w:cstheme="minorHAnsi"/>
          <w:b/>
          <w:bCs/>
          <w:sz w:val="20"/>
        </w:rPr>
        <w:t>add</w:t>
      </w:r>
      <w:proofErr w:type="gramEnd"/>
      <w:r w:rsidRPr="00A602E3">
        <w:rPr>
          <w:rFonts w:asciiTheme="minorHAnsi" w:hAnsiTheme="minorHAnsi" w:cstheme="minorHAnsi"/>
          <w:b/>
          <w:bCs/>
          <w:sz w:val="20"/>
        </w:rPr>
        <w:t xml:space="preserve"> and contribution margin trends</w:t>
      </w:r>
    </w:p>
    <w:p w14:paraId="40C038C9" w14:textId="7BD3E3A6" w:rsidR="00A602E3" w:rsidRPr="00AD5F69" w:rsidRDefault="00A602E3" w:rsidP="00AD5F69">
      <w:pPr>
        <w:pStyle w:val="BodyText"/>
        <w:spacing w:line="260" w:lineRule="exact"/>
        <w:ind w:left="360"/>
        <w:jc w:val="both"/>
        <w:rPr>
          <w:rFonts w:asciiTheme="minorHAnsi" w:hAnsiTheme="minorHAnsi" w:cstheme="minorHAnsi"/>
          <w:sz w:val="20"/>
        </w:rPr>
      </w:pPr>
      <w:r w:rsidRPr="00AD5F69">
        <w:rPr>
          <w:rFonts w:asciiTheme="minorHAnsi" w:hAnsiTheme="minorHAnsi" w:cstheme="minorHAnsi"/>
          <w:sz w:val="20"/>
        </w:rPr>
        <w:t xml:space="preserve">Obtain a comprehensive view of revenue, material value </w:t>
      </w:r>
      <w:proofErr w:type="gramStart"/>
      <w:r w:rsidRPr="00AD5F69">
        <w:rPr>
          <w:rFonts w:asciiTheme="minorHAnsi" w:hAnsiTheme="minorHAnsi" w:cstheme="minorHAnsi"/>
          <w:sz w:val="20"/>
        </w:rPr>
        <w:t>add</w:t>
      </w:r>
      <w:proofErr w:type="gramEnd"/>
      <w:r w:rsidRPr="00AD5F69">
        <w:rPr>
          <w:rFonts w:asciiTheme="minorHAnsi" w:hAnsiTheme="minorHAnsi" w:cstheme="minorHAnsi"/>
          <w:sz w:val="20"/>
        </w:rPr>
        <w:t xml:space="preserve"> and contribution margin (pending data availability) by product order</w:t>
      </w:r>
      <w:r w:rsidR="000742DF">
        <w:rPr>
          <w:rFonts w:asciiTheme="minorHAnsi" w:hAnsiTheme="minorHAnsi" w:cstheme="minorHAnsi"/>
          <w:sz w:val="20"/>
        </w:rPr>
        <w:t xml:space="preserve">, product category, or </w:t>
      </w:r>
      <w:r w:rsidRPr="00AD5F69">
        <w:rPr>
          <w:rFonts w:asciiTheme="minorHAnsi" w:hAnsiTheme="minorHAnsi" w:cstheme="minorHAnsi"/>
          <w:sz w:val="20"/>
        </w:rPr>
        <w:t>SKU</w:t>
      </w:r>
      <w:r w:rsidR="000742DF">
        <w:rPr>
          <w:rFonts w:asciiTheme="minorHAnsi" w:hAnsiTheme="minorHAnsi" w:cstheme="minorHAnsi"/>
          <w:sz w:val="20"/>
        </w:rPr>
        <w:t>, subject to available information</w:t>
      </w:r>
      <w:r w:rsidRPr="00AD5F69">
        <w:rPr>
          <w:rFonts w:asciiTheme="minorHAnsi" w:hAnsiTheme="minorHAnsi" w:cstheme="minorHAnsi"/>
          <w:sz w:val="20"/>
        </w:rPr>
        <w:t>. Obtain the analysis and underlying transactional data (orders database), and gain an understanding of the major trends in revenue and margins addressing areas including:</w:t>
      </w:r>
    </w:p>
    <w:p w14:paraId="294F4A57" w14:textId="268D85D8"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Revenue and margin trends by product category / </w:t>
      </w:r>
      <w:proofErr w:type="gramStart"/>
      <w:r w:rsidRPr="0008309F">
        <w:rPr>
          <w:rFonts w:asciiTheme="minorHAnsi" w:hAnsiTheme="minorHAnsi" w:cstheme="minorHAnsi"/>
          <w:sz w:val="20"/>
        </w:rPr>
        <w:t>SKU;</w:t>
      </w:r>
      <w:proofErr w:type="gramEnd"/>
      <w:r w:rsidRPr="0008309F">
        <w:rPr>
          <w:rFonts w:asciiTheme="minorHAnsi" w:hAnsiTheme="minorHAnsi" w:cstheme="minorHAnsi"/>
          <w:sz w:val="20"/>
        </w:rPr>
        <w:t xml:space="preserve"> </w:t>
      </w:r>
    </w:p>
    <w:p w14:paraId="61E3C4D8" w14:textId="245EA586"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Revenue and margin by significant customer and end market/ segment/ </w:t>
      </w:r>
      <w:proofErr w:type="gramStart"/>
      <w:r w:rsidRPr="0008309F">
        <w:rPr>
          <w:rFonts w:asciiTheme="minorHAnsi" w:hAnsiTheme="minorHAnsi" w:cstheme="minorHAnsi"/>
          <w:sz w:val="20"/>
        </w:rPr>
        <w:t>region;</w:t>
      </w:r>
      <w:proofErr w:type="gramEnd"/>
    </w:p>
    <w:p w14:paraId="7A03791E" w14:textId="14135B84"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Price and volume </w:t>
      </w:r>
      <w:proofErr w:type="gramStart"/>
      <w:r w:rsidRPr="0008309F">
        <w:rPr>
          <w:rFonts w:asciiTheme="minorHAnsi" w:hAnsiTheme="minorHAnsi" w:cstheme="minorHAnsi"/>
          <w:sz w:val="20"/>
        </w:rPr>
        <w:t>trends;</w:t>
      </w:r>
      <w:proofErr w:type="gramEnd"/>
    </w:p>
    <w:p w14:paraId="724A6E41" w14:textId="6EC14649"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Discuss with Management: </w:t>
      </w:r>
    </w:p>
    <w:p w14:paraId="2C74A548" w14:textId="2015B1F6"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impact of large or long-term orders/ seasonality (if applicable</w:t>
      </w:r>
      <w:proofErr w:type="gramStart"/>
      <w:r w:rsidRPr="0008309F">
        <w:rPr>
          <w:rFonts w:asciiTheme="minorHAnsi" w:hAnsiTheme="minorHAnsi" w:cstheme="minorHAnsi"/>
          <w:sz w:val="20"/>
        </w:rPr>
        <w:t>);</w:t>
      </w:r>
      <w:proofErr w:type="gramEnd"/>
      <w:r w:rsidRPr="0008309F">
        <w:rPr>
          <w:rFonts w:asciiTheme="minorHAnsi" w:hAnsiTheme="minorHAnsi" w:cstheme="minorHAnsi"/>
          <w:sz w:val="20"/>
        </w:rPr>
        <w:t xml:space="preserve"> </w:t>
      </w:r>
    </w:p>
    <w:p w14:paraId="11F583C4" w14:textId="27CD3C6D"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 xml:space="preserve">any non-recurring components of </w:t>
      </w:r>
      <w:proofErr w:type="gramStart"/>
      <w:r w:rsidRPr="0008309F">
        <w:rPr>
          <w:rFonts w:asciiTheme="minorHAnsi" w:hAnsiTheme="minorHAnsi" w:cstheme="minorHAnsi"/>
          <w:sz w:val="20"/>
        </w:rPr>
        <w:t>revenue</w:t>
      </w:r>
      <w:r w:rsidR="001A5AB0">
        <w:rPr>
          <w:rFonts w:asciiTheme="minorHAnsi" w:hAnsiTheme="minorHAnsi" w:cstheme="minorHAnsi"/>
          <w:sz w:val="20"/>
        </w:rPr>
        <w:t>;</w:t>
      </w:r>
      <w:proofErr w:type="gramEnd"/>
    </w:p>
    <w:p w14:paraId="12CCAA0E" w14:textId="74D9FF9F" w:rsidR="00A602E3"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Breakdown of costs of goods sold </w:t>
      </w:r>
      <w:proofErr w:type="gramStart"/>
      <w:r w:rsidRPr="0008309F">
        <w:rPr>
          <w:rFonts w:asciiTheme="minorHAnsi" w:hAnsiTheme="minorHAnsi" w:cstheme="minorHAnsi"/>
          <w:sz w:val="20"/>
        </w:rPr>
        <w:t>including:</w:t>
      </w:r>
      <w:proofErr w:type="gramEnd"/>
      <w:r w:rsidRPr="0008309F">
        <w:rPr>
          <w:rFonts w:asciiTheme="minorHAnsi" w:hAnsiTheme="minorHAnsi" w:cstheme="minorHAnsi"/>
          <w:sz w:val="20"/>
        </w:rPr>
        <w:t xml:space="preserve"> materials, scrap/waste, </w:t>
      </w:r>
      <w:proofErr w:type="spellStart"/>
      <w:r w:rsidRPr="0008309F">
        <w:rPr>
          <w:rFonts w:asciiTheme="minorHAnsi" w:hAnsiTheme="minorHAnsi" w:cstheme="minorHAnsi"/>
          <w:sz w:val="20"/>
        </w:rPr>
        <w:t>labour</w:t>
      </w:r>
      <w:proofErr w:type="spellEnd"/>
      <w:r w:rsidRPr="0008309F">
        <w:rPr>
          <w:rFonts w:asciiTheme="minorHAnsi" w:hAnsiTheme="minorHAnsi" w:cstheme="minorHAnsi"/>
          <w:sz w:val="20"/>
        </w:rPr>
        <w:t xml:space="preserve"> expense, manufacturing overhead, packing and outbound freight for product sales</w:t>
      </w:r>
      <w:r w:rsidR="001A5AB0">
        <w:rPr>
          <w:rFonts w:asciiTheme="minorHAnsi" w:hAnsiTheme="minorHAnsi" w:cstheme="minorHAnsi"/>
          <w:sz w:val="20"/>
        </w:rPr>
        <w:t>;</w:t>
      </w:r>
      <w:r w:rsidR="007D7AC9">
        <w:rPr>
          <w:rFonts w:asciiTheme="minorHAnsi" w:hAnsiTheme="minorHAnsi" w:cstheme="minorHAnsi"/>
          <w:sz w:val="20"/>
        </w:rPr>
        <w:t xml:space="preserve"> and</w:t>
      </w:r>
    </w:p>
    <w:p w14:paraId="1E347F19" w14:textId="6BC896D0" w:rsidR="001A5AB0" w:rsidRPr="00D33660" w:rsidRDefault="007D7AC9" w:rsidP="007A1D57">
      <w:pPr>
        <w:pStyle w:val="BodyText"/>
        <w:numPr>
          <w:ilvl w:val="0"/>
          <w:numId w:val="28"/>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Key suppliers and </w:t>
      </w:r>
      <w:r w:rsidR="00D33660" w:rsidRPr="00D33660">
        <w:rPr>
          <w:rFonts w:asciiTheme="minorHAnsi" w:hAnsiTheme="minorHAnsi" w:cstheme="minorHAnsi"/>
          <w:sz w:val="20"/>
        </w:rPr>
        <w:t>contractual arrangements.</w:t>
      </w:r>
    </w:p>
    <w:p w14:paraId="57FD4DF1" w14:textId="748796F8" w:rsidR="00A602E3" w:rsidRPr="00A602E3" w:rsidRDefault="00A602E3" w:rsidP="00222162">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2BA40D04" w14:textId="5A766792" w:rsidR="00A602E3" w:rsidRPr="00793080" w:rsidRDefault="00A602E3" w:rsidP="00793080">
      <w:pPr>
        <w:pStyle w:val="BodyText"/>
        <w:spacing w:line="260" w:lineRule="exact"/>
        <w:ind w:left="360"/>
        <w:jc w:val="both"/>
        <w:rPr>
          <w:rFonts w:asciiTheme="minorHAnsi" w:hAnsiTheme="minorHAnsi" w:cstheme="minorHAnsi"/>
          <w:sz w:val="20"/>
        </w:rPr>
      </w:pPr>
      <w:r w:rsidRPr="00793080">
        <w:rPr>
          <w:rFonts w:asciiTheme="minorHAnsi" w:hAnsiTheme="minorHAnsi" w:cstheme="minorHAnsi"/>
          <w:sz w:val="20"/>
        </w:rPr>
        <w:t xml:space="preserve">Obtain and read an analysis of </w:t>
      </w:r>
      <w:r w:rsidR="00793080">
        <w:rPr>
          <w:rFonts w:asciiTheme="minorHAnsi" w:hAnsiTheme="minorHAnsi" w:cstheme="minorHAnsi"/>
          <w:sz w:val="20"/>
        </w:rPr>
        <w:t>Target’s</w:t>
      </w:r>
      <w:r w:rsidRPr="00793080">
        <w:rPr>
          <w:rFonts w:asciiTheme="minorHAnsi" w:hAnsiTheme="minorHAnsi" w:cstheme="minorHAnsi"/>
          <w:sz w:val="20"/>
        </w:rPr>
        <w:t xml:space="preserve"> operating expenses and inquire about and comment on:</w:t>
      </w:r>
    </w:p>
    <w:p w14:paraId="4F940C99" w14:textId="2CD7552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Salaries and benefits (including headcount and average compensation costs, incentive-based compensation, severance, other), and any capitalization of </w:t>
      </w:r>
      <w:proofErr w:type="gramStart"/>
      <w:r w:rsidRPr="00793080">
        <w:rPr>
          <w:rFonts w:asciiTheme="minorHAnsi" w:hAnsiTheme="minorHAnsi" w:cstheme="minorHAnsi"/>
          <w:sz w:val="20"/>
        </w:rPr>
        <w:t>costs;</w:t>
      </w:r>
      <w:proofErr w:type="gramEnd"/>
    </w:p>
    <w:p w14:paraId="7DB4219F" w14:textId="2D9A378A"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Occupancy </w:t>
      </w:r>
      <w:proofErr w:type="gramStart"/>
      <w:r w:rsidRPr="00793080">
        <w:rPr>
          <w:rFonts w:asciiTheme="minorHAnsi" w:hAnsiTheme="minorHAnsi" w:cstheme="minorHAnsi"/>
          <w:sz w:val="20"/>
        </w:rPr>
        <w:t>costs;</w:t>
      </w:r>
      <w:proofErr w:type="gramEnd"/>
    </w:p>
    <w:p w14:paraId="027ABB04" w14:textId="335EAF44"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Repairs and </w:t>
      </w:r>
      <w:proofErr w:type="gramStart"/>
      <w:r w:rsidRPr="00793080">
        <w:rPr>
          <w:rFonts w:asciiTheme="minorHAnsi" w:hAnsiTheme="minorHAnsi" w:cstheme="minorHAnsi"/>
          <w:sz w:val="20"/>
        </w:rPr>
        <w:t>maintenance;</w:t>
      </w:r>
      <w:proofErr w:type="gramEnd"/>
    </w:p>
    <w:p w14:paraId="39652B72" w14:textId="2883E068"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General and administration </w:t>
      </w:r>
      <w:proofErr w:type="gramStart"/>
      <w:r w:rsidRPr="00793080">
        <w:rPr>
          <w:rFonts w:asciiTheme="minorHAnsi" w:hAnsiTheme="minorHAnsi" w:cstheme="minorHAnsi"/>
          <w:sz w:val="20"/>
        </w:rPr>
        <w:t>costs;</w:t>
      </w:r>
      <w:proofErr w:type="gramEnd"/>
    </w:p>
    <w:p w14:paraId="3B9E67CC" w14:textId="114B3AB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Research and development activities and costs; and</w:t>
      </w:r>
    </w:p>
    <w:p w14:paraId="4700E2F0" w14:textId="0502950D"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Unusual and extraordinary items.</w:t>
      </w:r>
    </w:p>
    <w:p w14:paraId="7F1A66C9" w14:textId="12248BA2"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Normalized EBITDA bridges</w:t>
      </w:r>
    </w:p>
    <w:p w14:paraId="32E62B20"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prepared normalized EBITDA bridges from:</w:t>
      </w:r>
    </w:p>
    <w:p w14:paraId="43113913" w14:textId="0F2A6EBC" w:rsidR="00A602E3" w:rsidRPr="00D33660"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FY22 to </w:t>
      </w:r>
      <w:proofErr w:type="gramStart"/>
      <w:r w:rsidRPr="00D33660">
        <w:rPr>
          <w:rFonts w:asciiTheme="minorHAnsi" w:hAnsiTheme="minorHAnsi" w:cstheme="minorHAnsi"/>
          <w:sz w:val="20"/>
        </w:rPr>
        <w:t>FY23;</w:t>
      </w:r>
      <w:proofErr w:type="gramEnd"/>
    </w:p>
    <w:p w14:paraId="06C76E90" w14:textId="7823ABCF" w:rsidR="00A602E3"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FY23 to FY24; and</w:t>
      </w:r>
    </w:p>
    <w:p w14:paraId="415D5210" w14:textId="1F56E8C3" w:rsidR="00D33660" w:rsidRPr="00D33660" w:rsidRDefault="00D33660" w:rsidP="007A1D57">
      <w:pPr>
        <w:pStyle w:val="BodyText"/>
        <w:numPr>
          <w:ilvl w:val="0"/>
          <w:numId w:val="31"/>
        </w:numPr>
        <w:spacing w:before="60" w:after="0" w:line="260" w:lineRule="exact"/>
        <w:ind w:left="720"/>
        <w:jc w:val="both"/>
        <w:rPr>
          <w:rFonts w:asciiTheme="minorHAnsi" w:hAnsiTheme="minorHAnsi" w:cstheme="minorHAnsi"/>
          <w:sz w:val="20"/>
        </w:rPr>
      </w:pPr>
      <w:r>
        <w:rPr>
          <w:rFonts w:asciiTheme="minorHAnsi" w:hAnsiTheme="minorHAnsi" w:cstheme="minorHAnsi"/>
          <w:sz w:val="20"/>
        </w:rPr>
        <w:t>FY24 to FY25b.</w:t>
      </w:r>
    </w:p>
    <w:p w14:paraId="56D934C3" w14:textId="4103C58D"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FY25 budget analysis</w:t>
      </w:r>
    </w:p>
    <w:p w14:paraId="65CA0164"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the FY25 budget and:</w:t>
      </w:r>
    </w:p>
    <w:p w14:paraId="11A45064" w14:textId="4551A93B"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Summarize the assumptions used by </w:t>
      </w:r>
      <w:r w:rsidR="00D33660">
        <w:rPr>
          <w:rFonts w:asciiTheme="minorHAnsi" w:hAnsiTheme="minorHAnsi" w:cstheme="minorHAnsi"/>
          <w:sz w:val="20"/>
        </w:rPr>
        <w:t>m</w:t>
      </w:r>
      <w:r w:rsidRPr="00D33660">
        <w:rPr>
          <w:rFonts w:asciiTheme="minorHAnsi" w:hAnsiTheme="minorHAnsi" w:cstheme="minorHAnsi"/>
          <w:sz w:val="20"/>
        </w:rPr>
        <w:t>anagement which underpin the achievement of the budget; and</w:t>
      </w:r>
    </w:p>
    <w:p w14:paraId="67ACD7DB" w14:textId="50E7F3D8"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lastRenderedPageBreak/>
        <w:t>Analyze the customer booking information to understand what portion of the FY25 budget revenues has been secured by customer orders.</w:t>
      </w:r>
    </w:p>
    <w:p w14:paraId="2D0F0285" w14:textId="7FBCA2A1"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33E07BDD"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normalize historical working capital in the business, including:</w:t>
      </w:r>
    </w:p>
    <w:p w14:paraId="45FC9511" w14:textId="360E20EC"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Comment on the historical working capital </w:t>
      </w:r>
      <w:proofErr w:type="gramStart"/>
      <w:r w:rsidRPr="00D33660">
        <w:rPr>
          <w:rFonts w:asciiTheme="minorHAnsi" w:hAnsiTheme="minorHAnsi" w:cstheme="minorHAnsi"/>
          <w:sz w:val="20"/>
        </w:rPr>
        <w:t>trends;</w:t>
      </w:r>
      <w:proofErr w:type="gramEnd"/>
    </w:p>
    <w:p w14:paraId="05EF8778" w14:textId="2A51D1A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Understand key drivers and trade ratio trends (i.e. seasonality, days sales outstanding, days inventory outstanding, accounts payable days, etc.</w:t>
      </w:r>
      <w:proofErr w:type="gramStart"/>
      <w:r w:rsidRPr="00D33660">
        <w:rPr>
          <w:rFonts w:asciiTheme="minorHAnsi" w:hAnsiTheme="minorHAnsi" w:cstheme="minorHAnsi"/>
          <w:sz w:val="20"/>
        </w:rPr>
        <w:t>);</w:t>
      </w:r>
      <w:proofErr w:type="gramEnd"/>
    </w:p>
    <w:p w14:paraId="512CB559" w14:textId="1E800D89"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Accrued liabilities and prepaid </w:t>
      </w:r>
      <w:proofErr w:type="gramStart"/>
      <w:r w:rsidRPr="00D33660">
        <w:rPr>
          <w:rFonts w:asciiTheme="minorHAnsi" w:hAnsiTheme="minorHAnsi" w:cstheme="minorHAnsi"/>
          <w:sz w:val="20"/>
        </w:rPr>
        <w:t>expenses;</w:t>
      </w:r>
      <w:proofErr w:type="gramEnd"/>
    </w:p>
    <w:p w14:paraId="3B35FE5C" w14:textId="0F6FC2AA"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Large or unusual non-recurring items that may have impacted normal working capital trends including potential items identified within the quality of earnings analysis noted </w:t>
      </w:r>
      <w:proofErr w:type="gramStart"/>
      <w:r w:rsidRPr="00D33660">
        <w:rPr>
          <w:rFonts w:asciiTheme="minorHAnsi" w:hAnsiTheme="minorHAnsi" w:cstheme="minorHAnsi"/>
          <w:sz w:val="20"/>
        </w:rPr>
        <w:t>above;</w:t>
      </w:r>
      <w:proofErr w:type="gramEnd"/>
    </w:p>
    <w:p w14:paraId="216BDFE6" w14:textId="6DFD1C7F"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Historical impact from acquisitions and associated normalizations; and</w:t>
      </w:r>
    </w:p>
    <w:p w14:paraId="4279312D" w14:textId="3911070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Recommend approaches to determine a normalized net working capital target/peg.</w:t>
      </w:r>
    </w:p>
    <w:p w14:paraId="157AF891" w14:textId="1FB086F0"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299E8A46"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receivable and inquire and comment on:</w:t>
      </w:r>
    </w:p>
    <w:p w14:paraId="422B70BA" w14:textId="2CE201EB"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Trade and non-trade (due from officers, stockholder, employees, affiliates, and other) </w:t>
      </w:r>
      <w:proofErr w:type="gramStart"/>
      <w:r w:rsidRPr="00D33660">
        <w:rPr>
          <w:rFonts w:asciiTheme="minorHAnsi" w:hAnsiTheme="minorHAnsi" w:cstheme="minorHAnsi"/>
          <w:sz w:val="20"/>
        </w:rPr>
        <w:t>balances;</w:t>
      </w:r>
      <w:proofErr w:type="gramEnd"/>
      <w:r w:rsidRPr="00D33660">
        <w:rPr>
          <w:rFonts w:asciiTheme="minorHAnsi" w:hAnsiTheme="minorHAnsi" w:cstheme="minorHAnsi"/>
          <w:sz w:val="20"/>
        </w:rPr>
        <w:t xml:space="preserve"> </w:t>
      </w:r>
    </w:p>
    <w:p w14:paraId="17906C7C" w14:textId="6495A564"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Aging analysis by key customer and by customer type and turnover </w:t>
      </w:r>
      <w:proofErr w:type="gramStart"/>
      <w:r w:rsidRPr="00D33660">
        <w:rPr>
          <w:rFonts w:asciiTheme="minorHAnsi" w:hAnsiTheme="minorHAnsi" w:cstheme="minorHAnsi"/>
          <w:sz w:val="20"/>
        </w:rPr>
        <w:t>analysis;</w:t>
      </w:r>
      <w:proofErr w:type="gramEnd"/>
    </w:p>
    <w:p w14:paraId="1A9E8D84" w14:textId="40E0B38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Credit terms and any other special terms; and</w:t>
      </w:r>
    </w:p>
    <w:p w14:paraId="4FA7CAD5" w14:textId="3F9170E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Allowance for uncollectible accounts and write-offs.</w:t>
      </w:r>
    </w:p>
    <w:p w14:paraId="41061A8D" w14:textId="59482330"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Accounts payable</w:t>
      </w:r>
      <w:r w:rsidR="00D33660">
        <w:rPr>
          <w:rFonts w:asciiTheme="minorHAnsi" w:hAnsiTheme="minorHAnsi" w:cstheme="minorHAnsi"/>
          <w:b/>
          <w:bCs/>
          <w:sz w:val="20"/>
        </w:rPr>
        <w:t xml:space="preserve"> and a</w:t>
      </w:r>
      <w:r w:rsidRPr="00A602E3">
        <w:rPr>
          <w:rFonts w:asciiTheme="minorHAnsi" w:hAnsiTheme="minorHAnsi" w:cstheme="minorHAnsi"/>
          <w:b/>
          <w:bCs/>
          <w:sz w:val="20"/>
        </w:rPr>
        <w:t>ccrued liabilities</w:t>
      </w:r>
    </w:p>
    <w:p w14:paraId="22355E61"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payable and accrued compensation and liabilities and inquire about:</w:t>
      </w:r>
    </w:p>
    <w:p w14:paraId="747269D4" w14:textId="315C5C62"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Accounts payable aging and days </w:t>
      </w:r>
      <w:proofErr w:type="gramStart"/>
      <w:r w:rsidRPr="00D33660">
        <w:rPr>
          <w:rFonts w:asciiTheme="minorHAnsi" w:hAnsiTheme="minorHAnsi" w:cstheme="minorHAnsi"/>
          <w:sz w:val="20"/>
        </w:rPr>
        <w:t>outstanding;</w:t>
      </w:r>
      <w:proofErr w:type="gramEnd"/>
    </w:p>
    <w:p w14:paraId="6452EBDD" w14:textId="049AA1A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Accrued liabilities including (where possible) a basis for the adequacy of accruals for such items as bonuses, deferred compensation, severance, workers’ compensation, commissions, vacation pay, litigation, customer returns, product liability, sales allowances and credits, and </w:t>
      </w:r>
      <w:proofErr w:type="gramStart"/>
      <w:r w:rsidRPr="00D33660">
        <w:rPr>
          <w:rFonts w:asciiTheme="minorHAnsi" w:hAnsiTheme="minorHAnsi" w:cstheme="minorHAnsi"/>
          <w:sz w:val="20"/>
        </w:rPr>
        <w:t>other;</w:t>
      </w:r>
      <w:proofErr w:type="gramEnd"/>
    </w:p>
    <w:p w14:paraId="5C2F753E" w14:textId="6E9C1F3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Vendor/supplier settlement terms; and</w:t>
      </w:r>
    </w:p>
    <w:p w14:paraId="23B1C44F" w14:textId="52B06F1E"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Other current and non-current liabilities.</w:t>
      </w:r>
    </w:p>
    <w:p w14:paraId="1C60E0BD" w14:textId="02394BCC"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Inventory</w:t>
      </w:r>
    </w:p>
    <w:p w14:paraId="4B9A824F" w14:textId="77777777" w:rsidR="00A602E3" w:rsidRPr="00A178DD" w:rsidRDefault="00A602E3" w:rsidP="00A178DD">
      <w:pPr>
        <w:pStyle w:val="BodyText"/>
        <w:spacing w:line="260" w:lineRule="exact"/>
        <w:ind w:left="360"/>
        <w:jc w:val="both"/>
        <w:rPr>
          <w:rFonts w:asciiTheme="minorHAnsi" w:hAnsiTheme="minorHAnsi" w:cstheme="minorHAnsi"/>
          <w:sz w:val="20"/>
        </w:rPr>
      </w:pPr>
      <w:r w:rsidRPr="00A178DD">
        <w:rPr>
          <w:rFonts w:asciiTheme="minorHAnsi" w:hAnsiTheme="minorHAnsi" w:cstheme="minorHAnsi"/>
          <w:sz w:val="20"/>
        </w:rPr>
        <w:t>Obtain and read an analysis of the Company’s inventory and inquire and comment on:</w:t>
      </w:r>
    </w:p>
    <w:p w14:paraId="0185EDC4" w14:textId="3F284AF6"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costing methodology and its consistent and appropriate application during the historical </w:t>
      </w:r>
      <w:proofErr w:type="gramStart"/>
      <w:r w:rsidRPr="00576DF2">
        <w:rPr>
          <w:rFonts w:asciiTheme="minorHAnsi" w:hAnsiTheme="minorHAnsi" w:cstheme="minorHAnsi"/>
          <w:sz w:val="20"/>
        </w:rPr>
        <w:t>period;</w:t>
      </w:r>
      <w:proofErr w:type="gramEnd"/>
    </w:p>
    <w:p w14:paraId="09FF1C3F" w14:textId="5B23C42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by </w:t>
      </w:r>
      <w:proofErr w:type="gramStart"/>
      <w:r w:rsidRPr="00576DF2">
        <w:rPr>
          <w:rFonts w:asciiTheme="minorHAnsi" w:hAnsiTheme="minorHAnsi" w:cstheme="minorHAnsi"/>
          <w:sz w:val="20"/>
        </w:rPr>
        <w:t>category;</w:t>
      </w:r>
      <w:proofErr w:type="gramEnd"/>
    </w:p>
    <w:p w14:paraId="1AEB5E87" w14:textId="2304CB7A"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aging profile at each period-end date and historical </w:t>
      </w:r>
      <w:proofErr w:type="gramStart"/>
      <w:r w:rsidRPr="00576DF2">
        <w:rPr>
          <w:rFonts w:asciiTheme="minorHAnsi" w:hAnsiTheme="minorHAnsi" w:cstheme="minorHAnsi"/>
          <w:sz w:val="20"/>
        </w:rPr>
        <w:t>write-offs;</w:t>
      </w:r>
      <w:proofErr w:type="gramEnd"/>
    </w:p>
    <w:p w14:paraId="52962484" w14:textId="1A7B5FCB"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turnover trends; and</w:t>
      </w:r>
    </w:p>
    <w:p w14:paraId="6503B860" w14:textId="464B134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Slow-moving, excess, and obsolete inventory and provisioning methodology.</w:t>
      </w:r>
    </w:p>
    <w:p w14:paraId="58E5FD8D" w14:textId="4ED2CE4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Capital expenditures and fixed assets</w:t>
      </w:r>
    </w:p>
    <w:p w14:paraId="0A3CFA9E" w14:textId="1800F0E8"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lastRenderedPageBreak/>
        <w:t xml:space="preserve">Fixed asset continuity schedule showing additions and </w:t>
      </w:r>
      <w:proofErr w:type="gramStart"/>
      <w:r w:rsidRPr="004949BE">
        <w:rPr>
          <w:rFonts w:asciiTheme="minorHAnsi" w:hAnsiTheme="minorHAnsi" w:cstheme="minorHAnsi"/>
          <w:sz w:val="20"/>
        </w:rPr>
        <w:t>depreciation;</w:t>
      </w:r>
      <w:proofErr w:type="gramEnd"/>
      <w:r w:rsidRPr="004949BE">
        <w:rPr>
          <w:rFonts w:asciiTheme="minorHAnsi" w:hAnsiTheme="minorHAnsi" w:cstheme="minorHAnsi"/>
          <w:sz w:val="20"/>
        </w:rPr>
        <w:t xml:space="preserve"> </w:t>
      </w:r>
    </w:p>
    <w:p w14:paraId="6067448E" w14:textId="2587B85B"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Significant near-term required capex and deferred capex, if any; and</w:t>
      </w:r>
    </w:p>
    <w:p w14:paraId="74BDEE86" w14:textId="4B27412F"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Historical capital expenditures segregated between growth and maintenance.</w:t>
      </w:r>
    </w:p>
    <w:p w14:paraId="50EA29E7" w14:textId="6D78818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Net debt</w:t>
      </w:r>
    </w:p>
    <w:p w14:paraId="42566287" w14:textId="6B5F9F7D"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Summarize and comment on net debt items presented by Management and other potential debt-like items; and</w:t>
      </w:r>
    </w:p>
    <w:p w14:paraId="070EA632" w14:textId="64CA2A13"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Consider whether elements of working capital have the nature of and may be reclassified as net debt, and if so, summarize the potential impact of these adjustments on working capital and net debt.</w:t>
      </w:r>
    </w:p>
    <w:p w14:paraId="242EBB01" w14:textId="1D33373C" w:rsidR="00A602E3" w:rsidRPr="00A602E3" w:rsidRDefault="00A602E3" w:rsidP="00DC41F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2FC8DE7F" w14:textId="77777777" w:rsidR="00A602E3" w:rsidRPr="00DC41F9" w:rsidRDefault="00A602E3" w:rsidP="00DC41F9">
      <w:pPr>
        <w:pStyle w:val="BodyText"/>
        <w:spacing w:line="260" w:lineRule="exact"/>
        <w:ind w:left="360"/>
        <w:jc w:val="both"/>
        <w:rPr>
          <w:rFonts w:asciiTheme="minorHAnsi" w:hAnsiTheme="minorHAnsi" w:cstheme="minorHAnsi"/>
          <w:sz w:val="20"/>
        </w:rPr>
      </w:pPr>
      <w:r w:rsidRPr="00DC41F9">
        <w:rPr>
          <w:rFonts w:asciiTheme="minorHAnsi" w:hAnsiTheme="minorHAnsi" w:cstheme="minorHAnsi"/>
          <w:sz w:val="20"/>
        </w:rPr>
        <w:t>Inquire about significant commitments and contingent liabilities including:</w:t>
      </w:r>
    </w:p>
    <w:p w14:paraId="480C6C67" w14:textId="3F52ABEE"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Significant purchase commitments and product financing arrangements with customers and/or </w:t>
      </w:r>
      <w:proofErr w:type="gramStart"/>
      <w:r w:rsidRPr="00DC41F9">
        <w:rPr>
          <w:rFonts w:asciiTheme="minorHAnsi" w:hAnsiTheme="minorHAnsi" w:cstheme="minorHAnsi"/>
          <w:sz w:val="20"/>
        </w:rPr>
        <w:t>suppliers;</w:t>
      </w:r>
      <w:proofErr w:type="gramEnd"/>
    </w:p>
    <w:p w14:paraId="1FA78316" w14:textId="605E87C7"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Operating lease</w:t>
      </w:r>
      <w:r w:rsidR="00B107EE">
        <w:rPr>
          <w:rFonts w:asciiTheme="minorHAnsi" w:hAnsiTheme="minorHAnsi" w:cstheme="minorHAnsi"/>
          <w:sz w:val="20"/>
        </w:rPr>
        <w:t xml:space="preserve"> </w:t>
      </w:r>
      <w:proofErr w:type="gramStart"/>
      <w:r w:rsidR="00B107EE">
        <w:rPr>
          <w:rFonts w:asciiTheme="minorHAnsi" w:hAnsiTheme="minorHAnsi" w:cstheme="minorHAnsi"/>
          <w:sz w:val="20"/>
        </w:rPr>
        <w:t>commitments;</w:t>
      </w:r>
      <w:proofErr w:type="gramEnd"/>
    </w:p>
    <w:p w14:paraId="785CAA65" w14:textId="2B4A0E53"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Earn-out arrangements and commitments relating to previous </w:t>
      </w:r>
      <w:proofErr w:type="gramStart"/>
      <w:r w:rsidRPr="00DC41F9">
        <w:rPr>
          <w:rFonts w:asciiTheme="minorHAnsi" w:hAnsiTheme="minorHAnsi" w:cstheme="minorHAnsi"/>
          <w:sz w:val="20"/>
        </w:rPr>
        <w:t>acquisitions;</w:t>
      </w:r>
      <w:proofErr w:type="gramEnd"/>
      <w:r w:rsidRPr="00DC41F9">
        <w:rPr>
          <w:rFonts w:asciiTheme="minorHAnsi" w:hAnsiTheme="minorHAnsi" w:cstheme="minorHAnsi"/>
          <w:sz w:val="20"/>
        </w:rPr>
        <w:t xml:space="preserve"> </w:t>
      </w:r>
    </w:p>
    <w:p w14:paraId="1601E8DE" w14:textId="1B67C1B6"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Incentive compensation and employee benefit </w:t>
      </w:r>
      <w:proofErr w:type="gramStart"/>
      <w:r w:rsidRPr="00DC41F9">
        <w:rPr>
          <w:rFonts w:asciiTheme="minorHAnsi" w:hAnsiTheme="minorHAnsi" w:cstheme="minorHAnsi"/>
          <w:sz w:val="20"/>
        </w:rPr>
        <w:t>obligations;</w:t>
      </w:r>
      <w:proofErr w:type="gramEnd"/>
      <w:r w:rsidRPr="00DC41F9">
        <w:rPr>
          <w:rFonts w:asciiTheme="minorHAnsi" w:hAnsiTheme="minorHAnsi" w:cstheme="minorHAnsi"/>
          <w:sz w:val="20"/>
        </w:rPr>
        <w:t xml:space="preserve"> </w:t>
      </w:r>
    </w:p>
    <w:p w14:paraId="624F5002" w14:textId="1A34DF70"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Expected or contingent liabilities (e.g. environmental, litigation, regulatory and tax); and</w:t>
      </w:r>
    </w:p>
    <w:p w14:paraId="3553338B" w14:textId="277642DA"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Pending or threatened litigation or investigations.</w:t>
      </w:r>
    </w:p>
    <w:p w14:paraId="4C524ADD" w14:textId="77777777" w:rsidR="00A602E3" w:rsidRDefault="00A602E3" w:rsidP="005655D1">
      <w:pPr>
        <w:pStyle w:val="BodyText"/>
        <w:spacing w:line="260" w:lineRule="exact"/>
        <w:jc w:val="center"/>
        <w:rPr>
          <w:rFonts w:asciiTheme="minorHAnsi" w:hAnsiTheme="minorHAnsi" w:cstheme="minorHAnsi"/>
          <w:b/>
          <w:bCs/>
          <w:sz w:val="20"/>
        </w:rPr>
      </w:pPr>
    </w:p>
    <w:p w14:paraId="1B3AA27C" w14:textId="77777777" w:rsidR="003A3733" w:rsidRPr="00FF7051" w:rsidRDefault="003A3733" w:rsidP="005655D1">
      <w:pPr>
        <w:pStyle w:val="BodyText"/>
        <w:spacing w:line="260" w:lineRule="exact"/>
        <w:jc w:val="both"/>
        <w:rPr>
          <w:rFonts w:asciiTheme="minorHAnsi" w:hAnsiTheme="minorHAnsi" w:cstheme="minorHAnsi"/>
          <w:sz w:val="20"/>
        </w:rPr>
      </w:pPr>
    </w:p>
    <w:p w14:paraId="1245C15E" w14:textId="77777777" w:rsidR="003A3733" w:rsidRPr="00FF7051" w:rsidRDefault="003A3733" w:rsidP="005655D1">
      <w:pPr>
        <w:pStyle w:val="BodyText"/>
        <w:spacing w:line="260" w:lineRule="exact"/>
        <w:jc w:val="both"/>
        <w:rPr>
          <w:rFonts w:asciiTheme="minorHAnsi" w:hAnsiTheme="minorHAnsi" w:cstheme="minorHAnsi"/>
          <w:sz w:val="20"/>
        </w:rPr>
      </w:pPr>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