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D5A2D" w14:textId="77777777" w:rsidR="003E38E1" w:rsidRPr="005B23FA" w:rsidRDefault="003E38E1" w:rsidP="003E38E1">
      <w:pPr>
        <w:pStyle w:val="BodyText"/>
        <w:rPr>
          <w:rFonts w:cs="Arial"/>
          <w:b/>
          <w:bCs/>
          <w:sz w:val="20"/>
        </w:rPr>
      </w:pPr>
    </w:p>
    <w:p w14:paraId="2BEEFCCD" w14:textId="77777777" w:rsidR="005B23FA" w:rsidRPr="005B23FA" w:rsidRDefault="005B23FA" w:rsidP="003E38E1">
      <w:pPr>
        <w:pStyle w:val="BodyText"/>
        <w:pBdr>
          <w:bottom w:val="single" w:sz="6" w:space="1" w:color="auto"/>
        </w:pBdr>
        <w:rPr>
          <w:rFonts w:cs="Arial"/>
          <w:i/>
          <w:iCs/>
          <w:sz w:val="20"/>
        </w:rPr>
      </w:pPr>
    </w:p>
    <w:p w14:paraId="715B0455" w14:textId="77777777" w:rsidR="005B23FA" w:rsidRDefault="005B23FA" w:rsidP="003E38E1">
      <w:pPr>
        <w:pStyle w:val="BodyText"/>
        <w:rPr>
          <w:rFonts w:cs="Arial"/>
          <w:b/>
          <w:bCs/>
          <w:i/>
          <w:iCs/>
          <w:sz w:val="20"/>
          <w:u w:val="single"/>
        </w:rPr>
      </w:pPr>
    </w:p>
    <w:p w14:paraId="0BE5AF42" w14:textId="6BD54F95" w:rsidR="003E38E1" w:rsidRPr="005B23FA" w:rsidRDefault="003E38E1" w:rsidP="003E38E1">
      <w:pPr>
        <w:pStyle w:val="BodyText"/>
        <w:rPr>
          <w:rFonts w:cs="Arial"/>
          <w:b/>
          <w:bCs/>
          <w:i/>
          <w:iCs/>
          <w:sz w:val="20"/>
          <w:u w:val="single"/>
        </w:rPr>
      </w:pPr>
      <w:r w:rsidRPr="005B23FA">
        <w:rPr>
          <w:rFonts w:cs="Arial"/>
          <w:b/>
          <w:bCs/>
          <w:i/>
          <w:iCs/>
          <w:sz w:val="20"/>
          <w:u w:val="single"/>
        </w:rPr>
        <w:t>Financial due diligence</w:t>
      </w:r>
    </w:p>
    <w:p w14:paraId="0581242A" w14:textId="77777777" w:rsidR="003E38E1" w:rsidRPr="005B23FA" w:rsidRDefault="003E38E1" w:rsidP="003E38E1">
      <w:pPr>
        <w:pStyle w:val="BodyText"/>
        <w:rPr>
          <w:rFonts w:cs="Arial"/>
          <w:sz w:val="20"/>
        </w:rPr>
      </w:pPr>
      <w:r w:rsidRPr="005B23FA">
        <w:rPr>
          <w:rFonts w:cs="Arial"/>
          <w:sz w:val="20"/>
        </w:rPr>
        <w:t>The deliverable will be in the form of a report and Excel data book.</w:t>
      </w:r>
    </w:p>
    <w:p w14:paraId="465500AD" w14:textId="77777777" w:rsidR="003E38E1" w:rsidRPr="005B23FA" w:rsidRDefault="003E38E1" w:rsidP="003E38E1">
      <w:pPr>
        <w:pStyle w:val="BodyText"/>
        <w:rPr>
          <w:rFonts w:cs="Arial"/>
          <w:i/>
          <w:iCs/>
          <w:sz w:val="20"/>
        </w:rPr>
      </w:pPr>
      <w:r w:rsidRPr="005B23FA">
        <w:rPr>
          <w:rFonts w:cs="Arial"/>
          <w:i/>
          <w:iCs/>
          <w:sz w:val="20"/>
        </w:rPr>
        <w:t>Unless otherwise noted, our work will concentrate on financial information for the last three fiscal years ended December 31, 2023, 2024, along with the most recent available financial information (e.g. year-to-date March 31, 2025 or more recent monthly data as available).</w:t>
      </w:r>
    </w:p>
    <w:p w14:paraId="4607C723" w14:textId="77777777" w:rsidR="003E38E1" w:rsidRPr="00D83F67" w:rsidRDefault="003E38E1" w:rsidP="003E38E1">
      <w:pPr>
        <w:pStyle w:val="BodyText"/>
        <w:rPr>
          <w:rFonts w:cs="Arial"/>
          <w:sz w:val="20"/>
        </w:rPr>
      </w:pPr>
    </w:p>
    <w:p w14:paraId="336F5ED6" w14:textId="77777777" w:rsidR="003E38E1" w:rsidRPr="00D83F67" w:rsidRDefault="003E38E1" w:rsidP="003E38E1">
      <w:pPr>
        <w:pStyle w:val="Bullet1"/>
        <w:numPr>
          <w:ilvl w:val="0"/>
          <w:numId w:val="2"/>
        </w:numPr>
        <w:tabs>
          <w:tab w:val="clear" w:pos="360"/>
          <w:tab w:val="clear" w:pos="720"/>
        </w:tabs>
        <w:suppressAutoHyphens w:val="0"/>
        <w:adjustRightInd/>
        <w:spacing w:after="0" w:line="240" w:lineRule="auto"/>
        <w:ind w:left="360"/>
        <w:textAlignment w:val="auto"/>
        <w:rPr>
          <w:rFonts w:ascii="Arial" w:hAnsi="Arial" w:cs="Arial"/>
          <w:b/>
          <w:bCs/>
          <w:sz w:val="20"/>
        </w:rPr>
      </w:pPr>
      <w:r w:rsidRPr="00D83F67">
        <w:rPr>
          <w:rFonts w:ascii="Arial" w:hAnsi="Arial" w:cs="Arial"/>
          <w:b/>
          <w:bCs/>
          <w:sz w:val="20"/>
        </w:rPr>
        <w:t>Quality of earnings</w:t>
      </w:r>
    </w:p>
    <w:p w14:paraId="5295F868" w14:textId="77777777" w:rsidR="003E38E1" w:rsidRPr="00D83F67" w:rsidRDefault="003E38E1" w:rsidP="003E38E1">
      <w:pPr>
        <w:pStyle w:val="Bullet1"/>
        <w:spacing w:line="240" w:lineRule="auto"/>
        <w:ind w:firstLine="0"/>
        <w:rPr>
          <w:rFonts w:ascii="Arial" w:hAnsi="Arial" w:cs="Arial"/>
          <w:sz w:val="20"/>
        </w:rPr>
      </w:pPr>
      <w:proofErr w:type="spellStart"/>
      <w:r w:rsidRPr="00D83F67">
        <w:rPr>
          <w:rFonts w:ascii="Arial" w:hAnsi="Arial" w:cs="Arial"/>
          <w:sz w:val="20"/>
        </w:rPr>
        <w:t>Analyze</w:t>
      </w:r>
      <w:proofErr w:type="spellEnd"/>
      <w:r w:rsidRPr="00D83F67">
        <w:rPr>
          <w:rFonts w:ascii="Arial" w:hAnsi="Arial" w:cs="Arial"/>
          <w:sz w:val="20"/>
        </w:rPr>
        <w:t xml:space="preserve"> historical earnings before interest, taxes, depreciation, and amortization (“EBITDA”) at segment levels including understanding the impact of potential non-recurring or non-operation items such as:</w:t>
      </w:r>
    </w:p>
    <w:p w14:paraId="5E677E41" w14:textId="77777777" w:rsidR="003E38E1" w:rsidRPr="00D83F67" w:rsidRDefault="003E38E1" w:rsidP="003E38E1">
      <w:pPr>
        <w:pStyle w:val="Bullet2"/>
        <w:numPr>
          <w:ilvl w:val="0"/>
          <w:numId w:val="6"/>
        </w:numPr>
        <w:suppressAutoHyphens w:val="0"/>
        <w:overflowPunct/>
        <w:autoSpaceDE/>
        <w:adjustRightInd/>
        <w:spacing w:after="0" w:line="240" w:lineRule="auto"/>
        <w:textAlignment w:val="auto"/>
        <w:rPr>
          <w:rFonts w:ascii="Arial" w:hAnsi="Arial" w:cs="Arial"/>
          <w:sz w:val="20"/>
        </w:rPr>
      </w:pPr>
      <w:r w:rsidRPr="00D83F67">
        <w:rPr>
          <w:rFonts w:ascii="Arial" w:hAnsi="Arial" w:cs="Arial"/>
          <w:sz w:val="20"/>
        </w:rPr>
        <w:t>Obtain and comment on the Seller’s proposed adjustments analysis;</w:t>
      </w:r>
    </w:p>
    <w:p w14:paraId="43636099" w14:textId="77777777" w:rsidR="003E38E1" w:rsidRDefault="003E38E1" w:rsidP="003E38E1">
      <w:pPr>
        <w:pStyle w:val="Bullet2"/>
        <w:numPr>
          <w:ilvl w:val="0"/>
          <w:numId w:val="6"/>
        </w:numPr>
        <w:suppressAutoHyphens w:val="0"/>
        <w:overflowPunct/>
        <w:autoSpaceDE/>
        <w:adjustRightInd/>
        <w:spacing w:after="0" w:line="240" w:lineRule="auto"/>
        <w:textAlignment w:val="auto"/>
        <w:rPr>
          <w:rFonts w:ascii="Arial" w:hAnsi="Arial" w:cs="Arial"/>
          <w:sz w:val="20"/>
        </w:rPr>
      </w:pPr>
      <w:r w:rsidRPr="00D83F67">
        <w:rPr>
          <w:rFonts w:ascii="Arial" w:hAnsi="Arial" w:cs="Arial"/>
          <w:sz w:val="20"/>
        </w:rPr>
        <w:t>Working with Client, understand potential impact with potential change in incentive compensation, dis-synergies, or synergies (if applicable);</w:t>
      </w:r>
    </w:p>
    <w:p w14:paraId="567DB761" w14:textId="77777777" w:rsidR="003E38E1" w:rsidRPr="00D83F67" w:rsidRDefault="003E38E1" w:rsidP="003E38E1">
      <w:pPr>
        <w:pStyle w:val="Bullet2"/>
        <w:numPr>
          <w:ilvl w:val="0"/>
          <w:numId w:val="6"/>
        </w:numPr>
        <w:suppressAutoHyphens w:val="0"/>
        <w:overflowPunct/>
        <w:autoSpaceDE/>
        <w:adjustRightInd/>
        <w:spacing w:after="0" w:line="240" w:lineRule="auto"/>
        <w:textAlignment w:val="auto"/>
        <w:rPr>
          <w:rFonts w:ascii="Arial" w:hAnsi="Arial" w:cs="Arial"/>
          <w:sz w:val="20"/>
        </w:rPr>
      </w:pPr>
      <w:r>
        <w:rPr>
          <w:rFonts w:ascii="Arial" w:hAnsi="Arial" w:cs="Arial"/>
          <w:sz w:val="20"/>
        </w:rPr>
        <w:t>Understand the impact of the Company’s JV business in the dredging sector;</w:t>
      </w:r>
    </w:p>
    <w:p w14:paraId="2FF0F05C" w14:textId="77777777" w:rsidR="003E38E1" w:rsidRPr="00D83F67" w:rsidRDefault="003E38E1" w:rsidP="003E38E1">
      <w:pPr>
        <w:pStyle w:val="ListParagraph"/>
        <w:numPr>
          <w:ilvl w:val="0"/>
          <w:numId w:val="6"/>
        </w:numPr>
        <w:autoSpaceDE w:val="0"/>
        <w:autoSpaceDN w:val="0"/>
        <w:rPr>
          <w:rFonts w:cs="Arial"/>
        </w:rPr>
      </w:pPr>
      <w:r w:rsidRPr="00D83F67">
        <w:rPr>
          <w:rFonts w:cs="Arial"/>
        </w:rPr>
        <w:t xml:space="preserve">The impact of significant accounting policies, provisions, management estimates or adjusting entries on the reported results; </w:t>
      </w:r>
    </w:p>
    <w:p w14:paraId="4941D762" w14:textId="77777777" w:rsidR="003E38E1" w:rsidRPr="00D83F67" w:rsidRDefault="003E38E1" w:rsidP="003E38E1">
      <w:pPr>
        <w:pStyle w:val="Bullet2"/>
        <w:numPr>
          <w:ilvl w:val="0"/>
          <w:numId w:val="6"/>
        </w:numPr>
        <w:suppressAutoHyphens w:val="0"/>
        <w:adjustRightInd/>
        <w:spacing w:after="0" w:line="260" w:lineRule="atLeast"/>
        <w:ind w:left="720"/>
        <w:textAlignment w:val="auto"/>
        <w:rPr>
          <w:rFonts w:ascii="Arial" w:hAnsi="Arial" w:cs="Arial"/>
          <w:sz w:val="20"/>
        </w:rPr>
      </w:pPr>
      <w:r w:rsidRPr="00D83F67">
        <w:rPr>
          <w:rFonts w:ascii="Arial" w:hAnsi="Arial" w:cs="Arial"/>
          <w:sz w:val="20"/>
        </w:rPr>
        <w:t>Other large, unusual or non-recurring events or transactions that may have distorted results;</w:t>
      </w:r>
    </w:p>
    <w:p w14:paraId="7DF09BE5" w14:textId="77777777" w:rsidR="003E38E1" w:rsidRPr="00D83F67" w:rsidRDefault="003E38E1" w:rsidP="003E38E1">
      <w:pPr>
        <w:pStyle w:val="Bullet2"/>
        <w:numPr>
          <w:ilvl w:val="0"/>
          <w:numId w:val="6"/>
        </w:numPr>
        <w:suppressAutoHyphens w:val="0"/>
        <w:overflowPunct/>
        <w:autoSpaceDE/>
        <w:adjustRightInd/>
        <w:spacing w:after="0" w:line="240" w:lineRule="auto"/>
        <w:ind w:left="720"/>
        <w:textAlignment w:val="auto"/>
        <w:rPr>
          <w:rFonts w:ascii="Arial" w:hAnsi="Arial" w:cs="Arial"/>
          <w:sz w:val="20"/>
        </w:rPr>
      </w:pPr>
      <w:r w:rsidRPr="00D83F67">
        <w:rPr>
          <w:rFonts w:ascii="Arial" w:hAnsi="Arial" w:cs="Arial"/>
          <w:sz w:val="20"/>
        </w:rPr>
        <w:t>Non-cash items such as the impact of provisions, management estimates, or adjusting entries on the reported results; and</w:t>
      </w:r>
    </w:p>
    <w:p w14:paraId="1299A378" w14:textId="77777777" w:rsidR="003E38E1" w:rsidRPr="00D83F67" w:rsidRDefault="003E38E1" w:rsidP="003E38E1">
      <w:pPr>
        <w:pStyle w:val="Bullet2"/>
        <w:numPr>
          <w:ilvl w:val="0"/>
          <w:numId w:val="6"/>
        </w:numPr>
        <w:suppressAutoHyphens w:val="0"/>
        <w:overflowPunct/>
        <w:autoSpaceDE/>
        <w:adjustRightInd/>
        <w:spacing w:after="0" w:line="240" w:lineRule="auto"/>
        <w:ind w:left="720"/>
        <w:textAlignment w:val="auto"/>
        <w:rPr>
          <w:rFonts w:ascii="Arial" w:hAnsi="Arial" w:cs="Arial"/>
          <w:sz w:val="20"/>
        </w:rPr>
      </w:pPr>
      <w:r w:rsidRPr="00D83F67">
        <w:rPr>
          <w:rFonts w:ascii="Arial" w:hAnsi="Arial" w:cs="Arial"/>
          <w:sz w:val="20"/>
        </w:rPr>
        <w:t>Other potential items discovered in the due diligence process.</w:t>
      </w:r>
    </w:p>
    <w:p w14:paraId="2B20EF10" w14:textId="77777777" w:rsidR="003E38E1" w:rsidRPr="00D83F67" w:rsidRDefault="003E38E1" w:rsidP="003E38E1">
      <w:pPr>
        <w:ind w:left="720"/>
        <w:rPr>
          <w:rFonts w:cs="Arial"/>
          <w:b/>
          <w:bCs/>
          <w:sz w:val="20"/>
        </w:rPr>
      </w:pPr>
    </w:p>
    <w:p w14:paraId="298002B2" w14:textId="77777777" w:rsidR="003E38E1" w:rsidRPr="00D83F67" w:rsidRDefault="003E38E1" w:rsidP="003E38E1">
      <w:pPr>
        <w:tabs>
          <w:tab w:val="left" w:pos="908"/>
        </w:tabs>
        <w:ind w:left="270" w:hanging="360"/>
        <w:rPr>
          <w:rFonts w:cs="Arial"/>
          <w:b/>
          <w:sz w:val="20"/>
        </w:rPr>
      </w:pPr>
      <w:r w:rsidRPr="00D83F67">
        <w:rPr>
          <w:rFonts w:cs="Arial"/>
          <w:b/>
          <w:i/>
          <w:iCs/>
          <w:sz w:val="20"/>
        </w:rPr>
        <w:tab/>
        <w:t>Supporting analysis to quality of earnings</w:t>
      </w:r>
    </w:p>
    <w:p w14:paraId="2EF41DE3" w14:textId="77777777" w:rsidR="003E38E1" w:rsidRPr="00D83F67" w:rsidRDefault="003E38E1" w:rsidP="003E38E1">
      <w:pPr>
        <w:pStyle w:val="Bullet1"/>
        <w:spacing w:line="240" w:lineRule="auto"/>
        <w:ind w:firstLine="0"/>
        <w:rPr>
          <w:rFonts w:ascii="Arial" w:hAnsi="Arial" w:cs="Arial"/>
          <w:b/>
          <w:bCs/>
          <w:sz w:val="20"/>
        </w:rPr>
      </w:pPr>
      <w:r w:rsidRPr="00D83F67">
        <w:rPr>
          <w:rFonts w:ascii="Arial" w:hAnsi="Arial" w:cs="Arial"/>
          <w:b/>
          <w:bCs/>
          <w:sz w:val="20"/>
        </w:rPr>
        <w:tab/>
      </w:r>
    </w:p>
    <w:p w14:paraId="662B6248" w14:textId="77777777" w:rsidR="003E38E1" w:rsidRPr="00D83F67" w:rsidRDefault="003E38E1" w:rsidP="003E38E1">
      <w:pPr>
        <w:pStyle w:val="Bullet1"/>
        <w:numPr>
          <w:ilvl w:val="1"/>
          <w:numId w:val="5"/>
        </w:numPr>
        <w:tabs>
          <w:tab w:val="clear" w:pos="360"/>
        </w:tabs>
        <w:suppressAutoHyphens w:val="0"/>
        <w:adjustRightInd/>
        <w:spacing w:after="0" w:line="240" w:lineRule="auto"/>
        <w:ind w:left="720"/>
        <w:textAlignment w:val="auto"/>
        <w:rPr>
          <w:rFonts w:ascii="Arial" w:hAnsi="Arial" w:cs="Arial"/>
          <w:sz w:val="20"/>
        </w:rPr>
      </w:pPr>
      <w:r w:rsidRPr="00D83F67">
        <w:rPr>
          <w:rFonts w:ascii="Arial" w:hAnsi="Arial" w:cs="Arial"/>
          <w:b/>
          <w:bCs/>
          <w:sz w:val="20"/>
        </w:rPr>
        <w:t>Sales and margin trends</w:t>
      </w:r>
    </w:p>
    <w:p w14:paraId="296655AD" w14:textId="77777777" w:rsidR="003E38E1" w:rsidRPr="00D83F67" w:rsidRDefault="003E38E1" w:rsidP="003E38E1">
      <w:pPr>
        <w:pStyle w:val="Bullet1"/>
        <w:spacing w:line="240" w:lineRule="auto"/>
        <w:ind w:left="810" w:firstLine="0"/>
        <w:rPr>
          <w:rFonts w:ascii="Arial" w:hAnsi="Arial" w:cs="Arial"/>
          <w:sz w:val="20"/>
        </w:rPr>
      </w:pPr>
      <w:r w:rsidRPr="00D83F67">
        <w:rPr>
          <w:rFonts w:ascii="Arial" w:hAnsi="Arial" w:cs="Arial"/>
          <w:sz w:val="20"/>
        </w:rPr>
        <w:t>T</w:t>
      </w:r>
      <w:bookmarkStart w:id="0" w:name="_Hlk114754928"/>
      <w:r w:rsidRPr="00D83F67">
        <w:rPr>
          <w:rFonts w:ascii="Arial" w:hAnsi="Arial" w:cs="Arial"/>
          <w:sz w:val="20"/>
        </w:rPr>
        <w:t>o the extent available, obtain and read an analysis of Target’s revenues and margins and inquire about the following</w:t>
      </w:r>
      <w:bookmarkEnd w:id="0"/>
      <w:r w:rsidRPr="00D83F67">
        <w:rPr>
          <w:rFonts w:ascii="Arial" w:hAnsi="Arial" w:cs="Arial"/>
          <w:sz w:val="20"/>
          <w:lang w:val="en-CA"/>
        </w:rPr>
        <w:t>:</w:t>
      </w:r>
    </w:p>
    <w:p w14:paraId="55F18871" w14:textId="77777777" w:rsidR="003E38E1" w:rsidRPr="00D83F67" w:rsidRDefault="003E38E1" w:rsidP="003E38E1">
      <w:pPr>
        <w:pStyle w:val="Bullet1"/>
        <w:numPr>
          <w:ilvl w:val="0"/>
          <w:numId w:val="15"/>
        </w:numPr>
        <w:suppressAutoHyphens w:val="0"/>
        <w:adjustRightInd/>
        <w:spacing w:after="0" w:line="260" w:lineRule="atLeast"/>
        <w:textAlignment w:val="auto"/>
        <w:rPr>
          <w:rFonts w:ascii="Arial" w:hAnsi="Arial" w:cs="Arial"/>
          <w:sz w:val="20"/>
        </w:rPr>
      </w:pPr>
      <w:proofErr w:type="spellStart"/>
      <w:r w:rsidRPr="00D83F67">
        <w:rPr>
          <w:rFonts w:ascii="Arial" w:hAnsi="Arial" w:cs="Arial"/>
          <w:sz w:val="20"/>
        </w:rPr>
        <w:t>Analyze</w:t>
      </w:r>
      <w:proofErr w:type="spellEnd"/>
      <w:r w:rsidRPr="00D83F67">
        <w:rPr>
          <w:rFonts w:ascii="Arial" w:hAnsi="Arial" w:cs="Arial"/>
          <w:sz w:val="20"/>
        </w:rPr>
        <w:t xml:space="preserve"> revenue, margin, pricing and average project length on a project basis by the following (where available):</w:t>
      </w:r>
    </w:p>
    <w:p w14:paraId="2E0C328A" w14:textId="77777777" w:rsidR="003E38E1" w:rsidRPr="00D83F67" w:rsidRDefault="003E38E1" w:rsidP="003E38E1">
      <w:pPr>
        <w:pStyle w:val="Bullet1"/>
        <w:numPr>
          <w:ilvl w:val="1"/>
          <w:numId w:val="16"/>
        </w:numPr>
        <w:tabs>
          <w:tab w:val="clear" w:pos="360"/>
        </w:tabs>
        <w:suppressAutoHyphens w:val="0"/>
        <w:adjustRightInd/>
        <w:spacing w:after="0" w:line="260" w:lineRule="atLeast"/>
        <w:ind w:hanging="180"/>
        <w:textAlignment w:val="auto"/>
        <w:rPr>
          <w:rFonts w:ascii="Arial" w:hAnsi="Arial" w:cs="Arial"/>
          <w:sz w:val="20"/>
        </w:rPr>
      </w:pPr>
      <w:r w:rsidRPr="00D83F67">
        <w:rPr>
          <w:rFonts w:ascii="Arial" w:hAnsi="Arial" w:cs="Arial"/>
          <w:sz w:val="20"/>
        </w:rPr>
        <w:t>Revenue stream (civil work, special projects (buildings), services and equipment rental);</w:t>
      </w:r>
    </w:p>
    <w:p w14:paraId="24FBA9A8" w14:textId="77777777" w:rsidR="003E38E1" w:rsidRPr="00D83F67" w:rsidRDefault="003E38E1" w:rsidP="003E38E1">
      <w:pPr>
        <w:pStyle w:val="Bullet1"/>
        <w:numPr>
          <w:ilvl w:val="1"/>
          <w:numId w:val="16"/>
        </w:numPr>
        <w:tabs>
          <w:tab w:val="clear" w:pos="360"/>
        </w:tabs>
        <w:suppressAutoHyphens w:val="0"/>
        <w:adjustRightInd/>
        <w:spacing w:after="0" w:line="260" w:lineRule="atLeast"/>
        <w:ind w:hanging="180"/>
        <w:textAlignment w:val="auto"/>
        <w:rPr>
          <w:rFonts w:ascii="Arial" w:hAnsi="Arial" w:cs="Arial"/>
          <w:sz w:val="20"/>
        </w:rPr>
      </w:pPr>
      <w:r w:rsidRPr="00D83F67">
        <w:rPr>
          <w:rFonts w:ascii="Arial" w:hAnsi="Arial" w:cs="Arial"/>
          <w:sz w:val="20"/>
        </w:rPr>
        <w:t>Customer</w:t>
      </w:r>
    </w:p>
    <w:p w14:paraId="65A85D7B" w14:textId="77777777" w:rsidR="003E38E1" w:rsidRPr="00D83F67" w:rsidRDefault="003E38E1" w:rsidP="003E38E1">
      <w:pPr>
        <w:pStyle w:val="Bullet1"/>
        <w:numPr>
          <w:ilvl w:val="1"/>
          <w:numId w:val="16"/>
        </w:numPr>
        <w:tabs>
          <w:tab w:val="clear" w:pos="360"/>
        </w:tabs>
        <w:suppressAutoHyphens w:val="0"/>
        <w:adjustRightInd/>
        <w:spacing w:after="0" w:line="260" w:lineRule="atLeast"/>
        <w:ind w:hanging="180"/>
        <w:textAlignment w:val="auto"/>
        <w:rPr>
          <w:rFonts w:ascii="Arial" w:hAnsi="Arial" w:cs="Arial"/>
          <w:sz w:val="20"/>
        </w:rPr>
      </w:pPr>
      <w:r w:rsidRPr="00D83F67">
        <w:rPr>
          <w:rFonts w:ascii="Arial" w:hAnsi="Arial" w:cs="Arial"/>
          <w:sz w:val="20"/>
        </w:rPr>
        <w:t>Geography</w:t>
      </w:r>
    </w:p>
    <w:p w14:paraId="07173485" w14:textId="77777777" w:rsidR="003E38E1" w:rsidRPr="00D83F67" w:rsidRDefault="003E38E1" w:rsidP="003E38E1">
      <w:pPr>
        <w:pStyle w:val="Bullet1"/>
        <w:numPr>
          <w:ilvl w:val="1"/>
          <w:numId w:val="16"/>
        </w:numPr>
        <w:tabs>
          <w:tab w:val="clear" w:pos="360"/>
        </w:tabs>
        <w:suppressAutoHyphens w:val="0"/>
        <w:adjustRightInd/>
        <w:spacing w:after="0" w:line="260" w:lineRule="atLeast"/>
        <w:ind w:hanging="180"/>
        <w:textAlignment w:val="auto"/>
        <w:rPr>
          <w:rFonts w:ascii="Arial" w:hAnsi="Arial" w:cs="Arial"/>
          <w:sz w:val="20"/>
        </w:rPr>
      </w:pPr>
      <w:r w:rsidRPr="00D83F67">
        <w:rPr>
          <w:rFonts w:ascii="Arial" w:hAnsi="Arial" w:cs="Arial"/>
          <w:sz w:val="20"/>
        </w:rPr>
        <w:t>Industry</w:t>
      </w:r>
    </w:p>
    <w:p w14:paraId="204676F5" w14:textId="77777777" w:rsidR="003E38E1" w:rsidRPr="00D83F67" w:rsidRDefault="003E38E1" w:rsidP="003E38E1">
      <w:pPr>
        <w:pStyle w:val="Bullet1"/>
        <w:numPr>
          <w:ilvl w:val="0"/>
          <w:numId w:val="16"/>
        </w:numPr>
        <w:suppressAutoHyphens w:val="0"/>
        <w:adjustRightInd/>
        <w:spacing w:after="0" w:line="260" w:lineRule="atLeast"/>
        <w:textAlignment w:val="auto"/>
        <w:rPr>
          <w:rFonts w:ascii="Arial" w:hAnsi="Arial" w:cs="Arial"/>
          <w:sz w:val="20"/>
        </w:rPr>
      </w:pPr>
      <w:r w:rsidRPr="00D83F67">
        <w:rPr>
          <w:rFonts w:ascii="Arial" w:hAnsi="Arial" w:cs="Arial"/>
          <w:sz w:val="20"/>
        </w:rPr>
        <w:t>Understand Target’s job costing methodology (components included in margin, and periodic true ups)</w:t>
      </w:r>
    </w:p>
    <w:p w14:paraId="4A4E6806" w14:textId="77777777" w:rsidR="003E38E1" w:rsidRPr="00D83F67" w:rsidRDefault="003E38E1" w:rsidP="003E38E1">
      <w:pPr>
        <w:pStyle w:val="Bullet2"/>
        <w:numPr>
          <w:ilvl w:val="0"/>
          <w:numId w:val="15"/>
        </w:numPr>
        <w:tabs>
          <w:tab w:val="clear" w:pos="720"/>
        </w:tabs>
        <w:suppressAutoHyphens w:val="0"/>
        <w:adjustRightInd/>
        <w:spacing w:after="0" w:line="260" w:lineRule="atLeast"/>
        <w:textAlignment w:val="auto"/>
        <w:rPr>
          <w:rFonts w:ascii="Arial" w:hAnsi="Arial" w:cs="Arial"/>
          <w:sz w:val="20"/>
        </w:rPr>
      </w:pPr>
      <w:r w:rsidRPr="00D83F67">
        <w:rPr>
          <w:rFonts w:ascii="Arial" w:hAnsi="Arial" w:cs="Arial"/>
          <w:sz w:val="20"/>
        </w:rPr>
        <w:t xml:space="preserve">Understand Target’s revenue recognition and billing process (e.g. percentage of completion, periodic and contract completion true-ups (and its variability), loss provision process, policies in place to control accounting recognition and policy escalations, and lifecycle), with specific focus on Construction Management contracts, and its corresponding timing impact to EBITDA; </w:t>
      </w:r>
    </w:p>
    <w:p w14:paraId="3CF991E9" w14:textId="77777777" w:rsidR="003E38E1" w:rsidRPr="00D83F67" w:rsidRDefault="003E38E1" w:rsidP="003E38E1">
      <w:pPr>
        <w:pStyle w:val="Bullet1"/>
        <w:numPr>
          <w:ilvl w:val="0"/>
          <w:numId w:val="15"/>
        </w:numPr>
        <w:suppressAutoHyphens w:val="0"/>
        <w:adjustRightInd/>
        <w:spacing w:after="0" w:line="260" w:lineRule="atLeast"/>
        <w:textAlignment w:val="auto"/>
        <w:rPr>
          <w:rFonts w:ascii="Arial" w:hAnsi="Arial" w:cs="Arial"/>
          <w:sz w:val="20"/>
        </w:rPr>
      </w:pPr>
      <w:r w:rsidRPr="00D83F67">
        <w:rPr>
          <w:rFonts w:ascii="Arial" w:hAnsi="Arial" w:cs="Arial"/>
          <w:sz w:val="20"/>
        </w:rPr>
        <w:t>Understanding the profile (and exposure) of major project/contracts (i.e. Indigenous Partnership with C&amp;C Horizon Contracting Ltd.);</w:t>
      </w:r>
    </w:p>
    <w:p w14:paraId="4D5F686B" w14:textId="77777777" w:rsidR="003E38E1" w:rsidRPr="00D83F67" w:rsidRDefault="003E38E1" w:rsidP="003E38E1">
      <w:pPr>
        <w:pStyle w:val="Bullet1"/>
        <w:numPr>
          <w:ilvl w:val="0"/>
          <w:numId w:val="15"/>
        </w:numPr>
        <w:suppressAutoHyphens w:val="0"/>
        <w:adjustRightInd/>
        <w:spacing w:after="0" w:line="260" w:lineRule="atLeast"/>
        <w:textAlignment w:val="auto"/>
        <w:rPr>
          <w:rFonts w:ascii="Arial" w:hAnsi="Arial" w:cs="Arial"/>
          <w:sz w:val="20"/>
        </w:rPr>
      </w:pPr>
      <w:r w:rsidRPr="00D83F67">
        <w:rPr>
          <w:rFonts w:ascii="Arial" w:hAnsi="Arial" w:cs="Arial"/>
          <w:sz w:val="20"/>
        </w:rPr>
        <w:t xml:space="preserve">Obtain and </w:t>
      </w:r>
      <w:proofErr w:type="spellStart"/>
      <w:r w:rsidRPr="00D83F67">
        <w:rPr>
          <w:rFonts w:ascii="Arial" w:hAnsi="Arial" w:cs="Arial"/>
          <w:sz w:val="20"/>
        </w:rPr>
        <w:t>analyze</w:t>
      </w:r>
      <w:proofErr w:type="spellEnd"/>
      <w:r w:rsidRPr="00D83F67">
        <w:rPr>
          <w:rFonts w:ascii="Arial" w:hAnsi="Arial" w:cs="Arial"/>
          <w:sz w:val="20"/>
        </w:rPr>
        <w:t xml:space="preserve"> the backlog and active backlog as at latest available date (backlog margin on a project basis, and analysis of historical backlog conversion)</w:t>
      </w:r>
    </w:p>
    <w:p w14:paraId="6035A35E" w14:textId="77777777" w:rsidR="003E38E1" w:rsidRPr="00D83F67" w:rsidRDefault="003E38E1" w:rsidP="003E38E1">
      <w:pPr>
        <w:pStyle w:val="Bullet1"/>
        <w:numPr>
          <w:ilvl w:val="0"/>
          <w:numId w:val="8"/>
        </w:numPr>
        <w:tabs>
          <w:tab w:val="clear" w:pos="360"/>
        </w:tabs>
        <w:suppressAutoHyphens w:val="0"/>
        <w:adjustRightInd/>
        <w:spacing w:before="120" w:after="0" w:line="260" w:lineRule="atLeast"/>
        <w:ind w:left="720" w:hanging="450"/>
        <w:textAlignment w:val="auto"/>
        <w:rPr>
          <w:rFonts w:ascii="Arial" w:hAnsi="Arial" w:cs="Arial"/>
          <w:b/>
          <w:bCs/>
          <w:sz w:val="20"/>
        </w:rPr>
      </w:pPr>
      <w:r w:rsidRPr="00D83F67">
        <w:rPr>
          <w:rFonts w:ascii="Arial" w:hAnsi="Arial" w:cs="Arial"/>
          <w:b/>
          <w:bCs/>
          <w:sz w:val="20"/>
        </w:rPr>
        <w:t>Cost of sales and operating costs</w:t>
      </w:r>
    </w:p>
    <w:p w14:paraId="04C92678" w14:textId="77777777" w:rsidR="003E38E1" w:rsidRPr="00D83F67" w:rsidRDefault="003E38E1" w:rsidP="003E38E1">
      <w:pPr>
        <w:pStyle w:val="Bullet1"/>
        <w:spacing w:line="240" w:lineRule="auto"/>
        <w:ind w:left="1260" w:hanging="540"/>
        <w:rPr>
          <w:rFonts w:ascii="Arial" w:hAnsi="Arial" w:cs="Arial"/>
          <w:sz w:val="20"/>
        </w:rPr>
      </w:pPr>
      <w:r w:rsidRPr="00D83F67">
        <w:rPr>
          <w:rFonts w:ascii="Arial" w:hAnsi="Arial" w:cs="Arial"/>
          <w:sz w:val="20"/>
        </w:rPr>
        <w:lastRenderedPageBreak/>
        <w:t>Obtain and read an analysis of Target's expenses and inquire about:</w:t>
      </w:r>
    </w:p>
    <w:p w14:paraId="33D56A7D" w14:textId="77777777" w:rsidR="003E38E1" w:rsidRPr="00D83F67" w:rsidRDefault="003E38E1" w:rsidP="003E38E1">
      <w:pPr>
        <w:pStyle w:val="Bullet2"/>
        <w:numPr>
          <w:ilvl w:val="0"/>
          <w:numId w:val="10"/>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Costing methodology;</w:t>
      </w:r>
    </w:p>
    <w:p w14:paraId="1D630D49" w14:textId="77777777" w:rsidR="003E38E1" w:rsidRPr="00D83F67" w:rsidRDefault="003E38E1" w:rsidP="003E38E1">
      <w:pPr>
        <w:pStyle w:val="Bullet2"/>
        <w:numPr>
          <w:ilvl w:val="0"/>
          <w:numId w:val="10"/>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Cost of sale trends, impact of material change in vendors (if any);</w:t>
      </w:r>
    </w:p>
    <w:p w14:paraId="7C01751E" w14:textId="77777777" w:rsidR="003E38E1" w:rsidRPr="00D83F67" w:rsidRDefault="003E38E1" w:rsidP="003E38E1">
      <w:pPr>
        <w:pStyle w:val="Bullet2"/>
        <w:numPr>
          <w:ilvl w:val="0"/>
          <w:numId w:val="10"/>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Employee compensation and related costs by function;</w:t>
      </w:r>
    </w:p>
    <w:p w14:paraId="5EF70AAA" w14:textId="77777777" w:rsidR="003E38E1" w:rsidRPr="00D83F67" w:rsidRDefault="003E38E1" w:rsidP="003E38E1">
      <w:pPr>
        <w:pStyle w:val="Bullet2"/>
        <w:numPr>
          <w:ilvl w:val="0"/>
          <w:numId w:val="10"/>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Selling, general, and administrative expenses;</w:t>
      </w:r>
    </w:p>
    <w:p w14:paraId="466104E2" w14:textId="77777777" w:rsidR="003E38E1" w:rsidRPr="00D83F67" w:rsidRDefault="003E38E1" w:rsidP="003E38E1">
      <w:pPr>
        <w:pStyle w:val="Bullet2"/>
        <w:numPr>
          <w:ilvl w:val="0"/>
          <w:numId w:val="10"/>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Repairs and maintenance expense;</w:t>
      </w:r>
    </w:p>
    <w:p w14:paraId="130525E0" w14:textId="77777777" w:rsidR="003E38E1" w:rsidRPr="00D83F67" w:rsidRDefault="003E38E1" w:rsidP="003E38E1">
      <w:pPr>
        <w:pStyle w:val="Bullet2"/>
        <w:numPr>
          <w:ilvl w:val="0"/>
          <w:numId w:val="10"/>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Unusual and extraordinary items (if any).</w:t>
      </w:r>
    </w:p>
    <w:p w14:paraId="478AB8B3" w14:textId="77777777" w:rsidR="003E38E1" w:rsidRPr="00D83F67" w:rsidRDefault="003E38E1" w:rsidP="003E38E1">
      <w:pPr>
        <w:pStyle w:val="Bullet1"/>
        <w:ind w:firstLine="0"/>
        <w:rPr>
          <w:rFonts w:ascii="Arial" w:hAnsi="Arial" w:cs="Arial"/>
          <w:b/>
          <w:bCs/>
          <w:sz w:val="20"/>
          <w:lang w:val="en-CA"/>
        </w:rPr>
      </w:pPr>
    </w:p>
    <w:p w14:paraId="2FDC78F4" w14:textId="77777777" w:rsidR="003E38E1" w:rsidRPr="00D83F67" w:rsidRDefault="003E38E1" w:rsidP="003E38E1">
      <w:pPr>
        <w:pStyle w:val="Bullet1"/>
        <w:numPr>
          <w:ilvl w:val="0"/>
          <w:numId w:val="2"/>
        </w:numPr>
        <w:tabs>
          <w:tab w:val="clear" w:pos="360"/>
          <w:tab w:val="clear" w:pos="720"/>
        </w:tabs>
        <w:suppressAutoHyphens w:val="0"/>
        <w:adjustRightInd/>
        <w:spacing w:after="0" w:line="260" w:lineRule="atLeast"/>
        <w:ind w:left="360"/>
        <w:textAlignment w:val="auto"/>
        <w:rPr>
          <w:rFonts w:ascii="Arial" w:hAnsi="Arial" w:cs="Arial"/>
          <w:b/>
          <w:bCs/>
          <w:sz w:val="20"/>
        </w:rPr>
      </w:pPr>
      <w:r w:rsidRPr="00D83F67">
        <w:rPr>
          <w:rFonts w:ascii="Arial" w:hAnsi="Arial" w:cs="Arial"/>
          <w:b/>
          <w:bCs/>
          <w:sz w:val="20"/>
        </w:rPr>
        <w:t>Working Capital</w:t>
      </w:r>
    </w:p>
    <w:p w14:paraId="3818FEE2" w14:textId="77777777" w:rsidR="003E38E1" w:rsidRPr="00D83F67" w:rsidRDefault="003E38E1" w:rsidP="003E38E1">
      <w:pPr>
        <w:pStyle w:val="Bullet1"/>
        <w:spacing w:line="240" w:lineRule="auto"/>
        <w:ind w:firstLine="0"/>
        <w:rPr>
          <w:rFonts w:ascii="Arial" w:hAnsi="Arial" w:cs="Arial"/>
          <w:sz w:val="20"/>
        </w:rPr>
      </w:pPr>
      <w:r w:rsidRPr="00D83F67">
        <w:rPr>
          <w:rFonts w:ascii="Arial" w:hAnsi="Arial" w:cs="Arial"/>
          <w:sz w:val="20"/>
        </w:rPr>
        <w:t>Obtain and read an analysis of working capital and inquire about the following on a combined basis:</w:t>
      </w:r>
    </w:p>
    <w:p w14:paraId="31F70090" w14:textId="77777777" w:rsidR="003E38E1" w:rsidRPr="00D83F67" w:rsidRDefault="003E38E1" w:rsidP="003E38E1">
      <w:pPr>
        <w:pStyle w:val="Bullet1"/>
        <w:numPr>
          <w:ilvl w:val="0"/>
          <w:numId w:val="4"/>
        </w:numPr>
        <w:tabs>
          <w:tab w:val="clear" w:pos="360"/>
          <w:tab w:val="clear" w:pos="720"/>
        </w:tabs>
        <w:suppressAutoHyphens w:val="0"/>
        <w:adjustRightInd/>
        <w:spacing w:after="0" w:line="260" w:lineRule="atLeast"/>
        <w:textAlignment w:val="auto"/>
        <w:rPr>
          <w:rFonts w:ascii="Arial" w:hAnsi="Arial" w:cs="Arial"/>
          <w:sz w:val="20"/>
        </w:rPr>
      </w:pPr>
      <w:r w:rsidRPr="00D83F67">
        <w:rPr>
          <w:rFonts w:ascii="Arial" w:hAnsi="Arial" w:cs="Arial"/>
          <w:sz w:val="20"/>
        </w:rPr>
        <w:t>Understand the composition of individual working capital accounts to determine sufficient working capital needs of the Company (including bonding requirements);</w:t>
      </w:r>
    </w:p>
    <w:p w14:paraId="6BDD73B2" w14:textId="77777777" w:rsidR="003E38E1" w:rsidRPr="00D83F67" w:rsidRDefault="003E38E1" w:rsidP="003E38E1">
      <w:pPr>
        <w:pStyle w:val="Bullet1"/>
        <w:numPr>
          <w:ilvl w:val="0"/>
          <w:numId w:val="4"/>
        </w:numPr>
        <w:tabs>
          <w:tab w:val="clear" w:pos="360"/>
          <w:tab w:val="clear" w:pos="720"/>
        </w:tabs>
        <w:suppressAutoHyphens w:val="0"/>
        <w:adjustRightInd/>
        <w:spacing w:after="0" w:line="260" w:lineRule="atLeast"/>
        <w:textAlignment w:val="auto"/>
        <w:rPr>
          <w:rFonts w:ascii="Arial" w:hAnsi="Arial" w:cs="Arial"/>
          <w:sz w:val="20"/>
        </w:rPr>
      </w:pPr>
      <w:r w:rsidRPr="00D83F67">
        <w:rPr>
          <w:rFonts w:ascii="Arial" w:hAnsi="Arial" w:cs="Arial"/>
          <w:sz w:val="20"/>
        </w:rPr>
        <w:t>Monthly trending and fluctuations in working capital and impact on reported metrics (e.g. days sales/payables/inventory outstanding, net working capital as a percentage of revenues, etc.);</w:t>
      </w:r>
    </w:p>
    <w:p w14:paraId="29AC5645" w14:textId="77777777" w:rsidR="003E38E1" w:rsidRPr="00D83F67" w:rsidRDefault="003E38E1" w:rsidP="003E38E1">
      <w:pPr>
        <w:pStyle w:val="Bullet1"/>
        <w:numPr>
          <w:ilvl w:val="0"/>
          <w:numId w:val="4"/>
        </w:numPr>
        <w:tabs>
          <w:tab w:val="clear" w:pos="360"/>
          <w:tab w:val="clear" w:pos="720"/>
        </w:tabs>
        <w:suppressAutoHyphens w:val="0"/>
        <w:adjustRightInd/>
        <w:spacing w:after="0" w:line="260" w:lineRule="atLeast"/>
        <w:textAlignment w:val="auto"/>
        <w:rPr>
          <w:rFonts w:ascii="Arial" w:hAnsi="Arial" w:cs="Arial"/>
          <w:sz w:val="20"/>
        </w:rPr>
      </w:pPr>
      <w:r w:rsidRPr="00D83F67">
        <w:rPr>
          <w:rFonts w:ascii="Arial" w:hAnsi="Arial" w:cs="Arial"/>
          <w:sz w:val="20"/>
        </w:rPr>
        <w:t>Large, unusual, or non-operating items and current or upcoming initiatives that may affect normalized working capital trends, such as exited business, settlements, capital projects, understanding non-trade balances, etc.</w:t>
      </w:r>
    </w:p>
    <w:p w14:paraId="53767067" w14:textId="77777777" w:rsidR="003E38E1" w:rsidRPr="00D83F67" w:rsidRDefault="003E38E1" w:rsidP="003E38E1">
      <w:pPr>
        <w:pStyle w:val="Bullet1"/>
        <w:numPr>
          <w:ilvl w:val="0"/>
          <w:numId w:val="4"/>
        </w:numPr>
        <w:tabs>
          <w:tab w:val="clear" w:pos="360"/>
          <w:tab w:val="clear" w:pos="720"/>
        </w:tabs>
        <w:suppressAutoHyphens w:val="0"/>
        <w:adjustRightInd/>
        <w:spacing w:after="0" w:line="260" w:lineRule="atLeast"/>
        <w:textAlignment w:val="auto"/>
        <w:rPr>
          <w:rFonts w:ascii="Arial" w:hAnsi="Arial" w:cs="Arial"/>
          <w:sz w:val="20"/>
        </w:rPr>
      </w:pPr>
      <w:r w:rsidRPr="00D83F67">
        <w:rPr>
          <w:rFonts w:ascii="Arial" w:hAnsi="Arial" w:cs="Arial"/>
          <w:sz w:val="20"/>
        </w:rPr>
        <w:t>Gain an understanding of the nature of the Company’s unearned revenue.</w:t>
      </w:r>
    </w:p>
    <w:p w14:paraId="01C3095F" w14:textId="77777777" w:rsidR="003E38E1" w:rsidRPr="00D83F67" w:rsidRDefault="003E38E1" w:rsidP="003E38E1">
      <w:pPr>
        <w:tabs>
          <w:tab w:val="left" w:pos="908"/>
        </w:tabs>
        <w:ind w:left="270" w:hanging="360"/>
        <w:rPr>
          <w:rFonts w:cs="Arial"/>
          <w:b/>
          <w:i/>
          <w:iCs/>
          <w:sz w:val="20"/>
        </w:rPr>
      </w:pPr>
    </w:p>
    <w:p w14:paraId="324B2ED8" w14:textId="77777777" w:rsidR="003E38E1" w:rsidRPr="00D83F67" w:rsidRDefault="003E38E1" w:rsidP="003E38E1">
      <w:pPr>
        <w:tabs>
          <w:tab w:val="left" w:pos="908"/>
        </w:tabs>
        <w:ind w:left="270" w:hanging="360"/>
        <w:rPr>
          <w:rFonts w:cs="Arial"/>
          <w:b/>
          <w:sz w:val="20"/>
        </w:rPr>
      </w:pPr>
      <w:r w:rsidRPr="00D83F67">
        <w:rPr>
          <w:rFonts w:cs="Arial"/>
          <w:b/>
          <w:i/>
          <w:iCs/>
          <w:sz w:val="20"/>
        </w:rPr>
        <w:tab/>
        <w:t>Supporting analysis to net working capital</w:t>
      </w:r>
    </w:p>
    <w:p w14:paraId="0950EA31" w14:textId="77777777" w:rsidR="003E38E1" w:rsidRPr="00D83F67" w:rsidRDefault="003E38E1" w:rsidP="003E38E1">
      <w:pPr>
        <w:pStyle w:val="Bullet1"/>
        <w:rPr>
          <w:rFonts w:ascii="Arial" w:hAnsi="Arial" w:cs="Arial"/>
          <w:sz w:val="20"/>
        </w:rPr>
      </w:pPr>
    </w:p>
    <w:p w14:paraId="00351C7E" w14:textId="77777777" w:rsidR="003E38E1" w:rsidRPr="00D83F67" w:rsidRDefault="003E38E1" w:rsidP="003E38E1">
      <w:pPr>
        <w:pStyle w:val="Bullet1"/>
        <w:numPr>
          <w:ilvl w:val="0"/>
          <w:numId w:val="14"/>
        </w:numPr>
        <w:tabs>
          <w:tab w:val="clear" w:pos="360"/>
        </w:tabs>
        <w:suppressAutoHyphens w:val="0"/>
        <w:adjustRightInd/>
        <w:spacing w:after="0" w:line="240" w:lineRule="auto"/>
        <w:ind w:hanging="360"/>
        <w:textAlignment w:val="auto"/>
        <w:rPr>
          <w:rFonts w:ascii="Arial" w:hAnsi="Arial" w:cs="Arial"/>
          <w:b/>
          <w:bCs/>
          <w:sz w:val="20"/>
        </w:rPr>
      </w:pPr>
      <w:bookmarkStart w:id="1" w:name="_Hlk114755063"/>
      <w:bookmarkStart w:id="2" w:name="_Hlk114755054"/>
      <w:r w:rsidRPr="00D83F67">
        <w:rPr>
          <w:rFonts w:ascii="Arial" w:hAnsi="Arial" w:cs="Arial"/>
          <w:b/>
          <w:bCs/>
          <w:sz w:val="20"/>
        </w:rPr>
        <w:t>Accounts receivable</w:t>
      </w:r>
    </w:p>
    <w:p w14:paraId="1092B437" w14:textId="77777777" w:rsidR="003E38E1" w:rsidRPr="00D83F67" w:rsidRDefault="003E38E1" w:rsidP="003E38E1">
      <w:pPr>
        <w:spacing w:before="120"/>
        <w:ind w:left="720"/>
        <w:jc w:val="both"/>
        <w:rPr>
          <w:rFonts w:cs="Arial"/>
          <w:sz w:val="20"/>
          <w:lang w:val="en-CA"/>
        </w:rPr>
      </w:pPr>
      <w:r w:rsidRPr="00D83F67">
        <w:rPr>
          <w:rFonts w:cs="Arial"/>
          <w:sz w:val="20"/>
          <w:lang w:val="en-CA"/>
        </w:rPr>
        <w:t>Obtain and read an analysis of the Target’s accounts receivable and inquire and comment on:</w:t>
      </w:r>
    </w:p>
    <w:bookmarkEnd w:id="1"/>
    <w:p w14:paraId="67185C6D" w14:textId="77777777" w:rsidR="003E38E1" w:rsidRPr="00D83F67" w:rsidRDefault="003E38E1" w:rsidP="003E38E1">
      <w:pPr>
        <w:pStyle w:val="Bullet2"/>
        <w:numPr>
          <w:ilvl w:val="0"/>
          <w:numId w:val="13"/>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Billed/unbilled aging analysis, turnover and days sales outstanding;</w:t>
      </w:r>
    </w:p>
    <w:p w14:paraId="2C9E9D84" w14:textId="77777777" w:rsidR="003E38E1" w:rsidRPr="00D83F67" w:rsidRDefault="003E38E1" w:rsidP="003E38E1">
      <w:pPr>
        <w:pStyle w:val="Bullet2"/>
        <w:numPr>
          <w:ilvl w:val="0"/>
          <w:numId w:val="13"/>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Credit terms;</w:t>
      </w:r>
    </w:p>
    <w:p w14:paraId="5C0DADCA" w14:textId="77777777" w:rsidR="003E38E1" w:rsidRPr="00D83F67" w:rsidRDefault="003E38E1" w:rsidP="003E38E1">
      <w:pPr>
        <w:pStyle w:val="Bullet2"/>
        <w:numPr>
          <w:ilvl w:val="0"/>
          <w:numId w:val="13"/>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Trade and non-trade balances;</w:t>
      </w:r>
    </w:p>
    <w:p w14:paraId="13D0FA3F" w14:textId="77777777" w:rsidR="003E38E1" w:rsidRPr="00D83F67" w:rsidRDefault="003E38E1" w:rsidP="003E38E1">
      <w:pPr>
        <w:pStyle w:val="Bullet2"/>
        <w:numPr>
          <w:ilvl w:val="0"/>
          <w:numId w:val="13"/>
        </w:numPr>
        <w:suppressAutoHyphens w:val="0"/>
        <w:adjustRightInd/>
        <w:spacing w:after="0"/>
        <w:ind w:left="1080"/>
        <w:textAlignment w:val="auto"/>
        <w:rPr>
          <w:rFonts w:ascii="Arial" w:hAnsi="Arial" w:cs="Arial"/>
          <w:sz w:val="20"/>
          <w:lang w:val="en-CA"/>
        </w:rPr>
      </w:pPr>
      <w:r w:rsidRPr="00D83F67">
        <w:rPr>
          <w:rFonts w:ascii="Arial" w:hAnsi="Arial" w:cs="Arial"/>
          <w:sz w:val="20"/>
          <w:lang w:val="en-CA"/>
        </w:rPr>
        <w:t>Allowance for uncollectible accounts and write-offs.</w:t>
      </w:r>
    </w:p>
    <w:bookmarkEnd w:id="2"/>
    <w:p w14:paraId="531D10E3" w14:textId="77777777" w:rsidR="003E38E1" w:rsidRPr="00D83F67" w:rsidRDefault="003E38E1" w:rsidP="003E38E1">
      <w:pPr>
        <w:rPr>
          <w:rFonts w:cs="Arial"/>
          <w:b/>
          <w:bCs/>
          <w:sz w:val="20"/>
          <w:lang w:val="en-GB"/>
        </w:rPr>
      </w:pPr>
    </w:p>
    <w:p w14:paraId="1D1DB1AE" w14:textId="77777777" w:rsidR="003E38E1" w:rsidRPr="00D83F67" w:rsidRDefault="003E38E1" w:rsidP="003E38E1">
      <w:pPr>
        <w:pStyle w:val="Bullet1"/>
        <w:numPr>
          <w:ilvl w:val="0"/>
          <w:numId w:val="14"/>
        </w:numPr>
        <w:tabs>
          <w:tab w:val="clear" w:pos="360"/>
        </w:tabs>
        <w:suppressAutoHyphens w:val="0"/>
        <w:adjustRightInd/>
        <w:spacing w:after="0" w:line="240" w:lineRule="auto"/>
        <w:ind w:hanging="360"/>
        <w:textAlignment w:val="auto"/>
        <w:rPr>
          <w:rFonts w:ascii="Arial" w:hAnsi="Arial" w:cs="Arial"/>
          <w:b/>
          <w:bCs/>
          <w:sz w:val="20"/>
        </w:rPr>
      </w:pPr>
      <w:r w:rsidRPr="00D83F67">
        <w:rPr>
          <w:rFonts w:ascii="Arial" w:hAnsi="Arial" w:cs="Arial"/>
          <w:b/>
          <w:bCs/>
          <w:sz w:val="20"/>
        </w:rPr>
        <w:t>Prepaid materials and other assets</w:t>
      </w:r>
    </w:p>
    <w:p w14:paraId="17361231" w14:textId="77777777" w:rsidR="003E38E1" w:rsidRPr="00D83F67" w:rsidRDefault="003E38E1" w:rsidP="003E38E1">
      <w:pPr>
        <w:pStyle w:val="Bullet1"/>
        <w:spacing w:line="240" w:lineRule="auto"/>
        <w:ind w:left="720" w:firstLine="0"/>
        <w:rPr>
          <w:rFonts w:ascii="Arial" w:hAnsi="Arial" w:cs="Arial"/>
          <w:sz w:val="20"/>
          <w:lang w:val="en-CA"/>
        </w:rPr>
      </w:pPr>
      <w:r w:rsidRPr="00D83F67">
        <w:rPr>
          <w:rFonts w:ascii="Arial" w:hAnsi="Arial" w:cs="Arial"/>
          <w:bCs/>
          <w:sz w:val="20"/>
        </w:rPr>
        <w:t>Prepare a summary of other assets (including prepaid materials, prepaid assets) and comment on unusual items, significant</w:t>
      </w:r>
      <w:r w:rsidRPr="00D83F67">
        <w:rPr>
          <w:rFonts w:ascii="Arial" w:hAnsi="Arial" w:cs="Arial"/>
          <w:sz w:val="20"/>
          <w:lang w:val="en-CA"/>
        </w:rPr>
        <w:t xml:space="preserve"> fluctuations and significant balances</w:t>
      </w:r>
    </w:p>
    <w:p w14:paraId="10649B33" w14:textId="77777777" w:rsidR="003E38E1" w:rsidRPr="00D83F67" w:rsidRDefault="003E38E1" w:rsidP="003E38E1">
      <w:pPr>
        <w:pStyle w:val="Bullet1"/>
        <w:spacing w:line="240" w:lineRule="auto"/>
        <w:ind w:left="720" w:firstLine="0"/>
        <w:rPr>
          <w:rFonts w:ascii="Arial" w:hAnsi="Arial" w:cs="Arial"/>
          <w:sz w:val="20"/>
          <w:lang w:val="en-CA"/>
        </w:rPr>
      </w:pPr>
    </w:p>
    <w:p w14:paraId="7EA2AC3F" w14:textId="77777777" w:rsidR="003E38E1" w:rsidRPr="00D83F67" w:rsidRDefault="003E38E1" w:rsidP="003E38E1">
      <w:pPr>
        <w:pStyle w:val="Bullet1"/>
        <w:numPr>
          <w:ilvl w:val="0"/>
          <w:numId w:val="14"/>
        </w:numPr>
        <w:tabs>
          <w:tab w:val="clear" w:pos="360"/>
        </w:tabs>
        <w:suppressAutoHyphens w:val="0"/>
        <w:adjustRightInd/>
        <w:spacing w:after="0" w:line="240" w:lineRule="auto"/>
        <w:ind w:hanging="360"/>
        <w:textAlignment w:val="auto"/>
        <w:rPr>
          <w:rFonts w:ascii="Arial" w:hAnsi="Arial" w:cs="Arial"/>
          <w:b/>
          <w:bCs/>
          <w:sz w:val="20"/>
        </w:rPr>
      </w:pPr>
      <w:r w:rsidRPr="00D83F67">
        <w:rPr>
          <w:rFonts w:ascii="Arial" w:hAnsi="Arial" w:cs="Arial"/>
          <w:b/>
          <w:bCs/>
          <w:sz w:val="20"/>
        </w:rPr>
        <w:t>Inventory</w:t>
      </w:r>
    </w:p>
    <w:p w14:paraId="41B6D9FC" w14:textId="77777777" w:rsidR="003E38E1" w:rsidRPr="00D83F67" w:rsidRDefault="003E38E1" w:rsidP="003E38E1">
      <w:pPr>
        <w:pStyle w:val="Bullet1"/>
        <w:spacing w:line="240" w:lineRule="auto"/>
        <w:ind w:left="720" w:firstLine="0"/>
        <w:rPr>
          <w:rFonts w:ascii="Arial" w:hAnsi="Arial" w:cs="Arial"/>
          <w:sz w:val="20"/>
          <w:lang w:val="en-CA"/>
        </w:rPr>
      </w:pPr>
      <w:r w:rsidRPr="00D83F67">
        <w:rPr>
          <w:rFonts w:ascii="Arial" w:hAnsi="Arial" w:cs="Arial"/>
          <w:bCs/>
          <w:sz w:val="20"/>
        </w:rPr>
        <w:t>Prepare a summary of inventory and obtain an understanding of the Company’s inventory costing methodology, tracking of inventory, work-in-progress and obsolescence reserve.</w:t>
      </w:r>
    </w:p>
    <w:p w14:paraId="1ED55E02" w14:textId="77777777" w:rsidR="003E38E1" w:rsidRPr="00D83F67" w:rsidRDefault="003E38E1" w:rsidP="003E38E1">
      <w:pPr>
        <w:pStyle w:val="Bullet1"/>
        <w:spacing w:line="240" w:lineRule="auto"/>
        <w:ind w:left="0" w:firstLine="0"/>
        <w:rPr>
          <w:rFonts w:ascii="Arial" w:hAnsi="Arial" w:cs="Arial"/>
          <w:b/>
          <w:bCs/>
          <w:sz w:val="20"/>
        </w:rPr>
      </w:pPr>
    </w:p>
    <w:p w14:paraId="7A8434CF" w14:textId="77777777" w:rsidR="003E38E1" w:rsidRPr="00D83F67" w:rsidRDefault="003E38E1" w:rsidP="003E38E1">
      <w:pPr>
        <w:pStyle w:val="Bullet1"/>
        <w:numPr>
          <w:ilvl w:val="0"/>
          <w:numId w:val="14"/>
        </w:numPr>
        <w:tabs>
          <w:tab w:val="clear" w:pos="360"/>
        </w:tabs>
        <w:suppressAutoHyphens w:val="0"/>
        <w:adjustRightInd/>
        <w:spacing w:after="0" w:line="240" w:lineRule="auto"/>
        <w:ind w:hanging="360"/>
        <w:textAlignment w:val="auto"/>
        <w:rPr>
          <w:rFonts w:ascii="Arial" w:hAnsi="Arial" w:cs="Arial"/>
          <w:b/>
          <w:bCs/>
          <w:sz w:val="20"/>
        </w:rPr>
      </w:pPr>
      <w:r w:rsidRPr="00D83F67">
        <w:rPr>
          <w:rFonts w:ascii="Arial" w:hAnsi="Arial" w:cs="Arial"/>
          <w:b/>
          <w:bCs/>
          <w:sz w:val="20"/>
        </w:rPr>
        <w:t>Accounts payable and accrued liabilities</w:t>
      </w:r>
    </w:p>
    <w:p w14:paraId="3CEAF158" w14:textId="77777777" w:rsidR="003E38E1" w:rsidRPr="00D83F67" w:rsidRDefault="003E38E1" w:rsidP="003E38E1">
      <w:pPr>
        <w:pStyle w:val="Bullet1"/>
        <w:spacing w:line="240" w:lineRule="auto"/>
        <w:ind w:left="720" w:firstLine="0"/>
        <w:rPr>
          <w:rFonts w:ascii="Arial" w:hAnsi="Arial" w:cs="Arial"/>
          <w:b/>
          <w:bCs/>
          <w:sz w:val="20"/>
          <w:lang w:val="en-CA"/>
        </w:rPr>
      </w:pPr>
      <w:r w:rsidRPr="00D83F67">
        <w:rPr>
          <w:rFonts w:ascii="Arial" w:hAnsi="Arial" w:cs="Arial"/>
          <w:sz w:val="20"/>
          <w:lang w:val="en-CA"/>
        </w:rPr>
        <w:t>Obtain and read an analysis of Target’s accounts payable and accrued liabilities and inquire about:</w:t>
      </w:r>
    </w:p>
    <w:p w14:paraId="1C399875" w14:textId="77777777" w:rsidR="003E38E1" w:rsidRPr="00D83F67" w:rsidRDefault="003E38E1" w:rsidP="003E38E1">
      <w:pPr>
        <w:numPr>
          <w:ilvl w:val="0"/>
          <w:numId w:val="12"/>
        </w:numPr>
        <w:overflowPunct w:val="0"/>
        <w:autoSpaceDE w:val="0"/>
        <w:autoSpaceDN w:val="0"/>
        <w:ind w:left="1080"/>
        <w:rPr>
          <w:rFonts w:cs="Arial"/>
          <w:sz w:val="20"/>
          <w:lang w:val="en-CA"/>
        </w:rPr>
      </w:pPr>
      <w:r w:rsidRPr="00D83F67">
        <w:rPr>
          <w:rFonts w:cs="Arial"/>
          <w:sz w:val="20"/>
          <w:lang w:val="en-CA"/>
        </w:rPr>
        <w:t>Terms of trade with major suppliers, significant vendor allowances, rebates and/or purchase commitments;</w:t>
      </w:r>
    </w:p>
    <w:p w14:paraId="689A9206" w14:textId="77777777" w:rsidR="003E38E1" w:rsidRPr="00D83F67" w:rsidRDefault="003E38E1" w:rsidP="003E38E1">
      <w:pPr>
        <w:numPr>
          <w:ilvl w:val="0"/>
          <w:numId w:val="12"/>
        </w:numPr>
        <w:overflowPunct w:val="0"/>
        <w:autoSpaceDE w:val="0"/>
        <w:autoSpaceDN w:val="0"/>
        <w:ind w:left="1080"/>
        <w:rPr>
          <w:rFonts w:cs="Arial"/>
          <w:sz w:val="20"/>
          <w:lang w:val="en-CA"/>
        </w:rPr>
      </w:pPr>
      <w:r w:rsidRPr="00D83F67">
        <w:rPr>
          <w:rFonts w:cs="Arial"/>
          <w:sz w:val="20"/>
          <w:lang w:val="en-CA"/>
        </w:rPr>
        <w:t>Trade payables aging analysis and days payable outstanding analysis;</w:t>
      </w:r>
    </w:p>
    <w:p w14:paraId="0CE0E200" w14:textId="77777777" w:rsidR="003E38E1" w:rsidRPr="00D83F67" w:rsidRDefault="003E38E1" w:rsidP="003E38E1">
      <w:pPr>
        <w:numPr>
          <w:ilvl w:val="0"/>
          <w:numId w:val="12"/>
        </w:numPr>
        <w:overflowPunct w:val="0"/>
        <w:autoSpaceDE w:val="0"/>
        <w:autoSpaceDN w:val="0"/>
        <w:ind w:left="1080"/>
        <w:rPr>
          <w:rFonts w:cs="Arial"/>
          <w:sz w:val="20"/>
          <w:lang w:val="en-CA"/>
        </w:rPr>
      </w:pPr>
      <w:r w:rsidRPr="00D83F67">
        <w:rPr>
          <w:rFonts w:cs="Arial"/>
          <w:sz w:val="20"/>
          <w:lang w:val="en-CA"/>
        </w:rPr>
        <w:t>Accrued liabilities;</w:t>
      </w:r>
    </w:p>
    <w:p w14:paraId="2A4ACA1B" w14:textId="77777777" w:rsidR="003E38E1" w:rsidRPr="00D83F67" w:rsidRDefault="003E38E1" w:rsidP="003E38E1">
      <w:pPr>
        <w:numPr>
          <w:ilvl w:val="0"/>
          <w:numId w:val="12"/>
        </w:numPr>
        <w:overflowPunct w:val="0"/>
        <w:autoSpaceDE w:val="0"/>
        <w:autoSpaceDN w:val="0"/>
        <w:ind w:left="1080"/>
        <w:rPr>
          <w:rFonts w:cs="Arial"/>
          <w:sz w:val="20"/>
          <w:lang w:val="en-CA"/>
        </w:rPr>
      </w:pPr>
      <w:r w:rsidRPr="00D83F67">
        <w:rPr>
          <w:rFonts w:cs="Arial"/>
          <w:sz w:val="20"/>
          <w:lang w:val="en-CA"/>
        </w:rPr>
        <w:t>Billings in excess of cost profile; and</w:t>
      </w:r>
    </w:p>
    <w:p w14:paraId="123838D1" w14:textId="77777777" w:rsidR="003E38E1" w:rsidRPr="00D83F67" w:rsidRDefault="003E38E1" w:rsidP="003E38E1">
      <w:pPr>
        <w:numPr>
          <w:ilvl w:val="0"/>
          <w:numId w:val="12"/>
        </w:numPr>
        <w:overflowPunct w:val="0"/>
        <w:autoSpaceDE w:val="0"/>
        <w:autoSpaceDN w:val="0"/>
        <w:ind w:left="1080"/>
        <w:rPr>
          <w:rFonts w:cs="Arial"/>
          <w:sz w:val="20"/>
          <w:lang w:val="en-CA"/>
        </w:rPr>
      </w:pPr>
      <w:r w:rsidRPr="00D83F67">
        <w:rPr>
          <w:rFonts w:cs="Arial"/>
          <w:sz w:val="20"/>
          <w:lang w:val="en-CA"/>
        </w:rPr>
        <w:t>Other current and non-current liabilities.</w:t>
      </w:r>
    </w:p>
    <w:p w14:paraId="11E85696" w14:textId="77777777" w:rsidR="003E38E1" w:rsidRPr="00D83F67" w:rsidRDefault="003E38E1" w:rsidP="003E38E1">
      <w:pPr>
        <w:pStyle w:val="Bullet1"/>
        <w:ind w:left="720"/>
        <w:rPr>
          <w:rFonts w:ascii="Arial" w:hAnsi="Arial" w:cs="Arial"/>
          <w:sz w:val="20"/>
        </w:rPr>
      </w:pPr>
    </w:p>
    <w:p w14:paraId="194E75DC" w14:textId="77777777" w:rsidR="003E38E1" w:rsidRPr="00D83F67" w:rsidRDefault="003E38E1" w:rsidP="003E38E1">
      <w:pPr>
        <w:pStyle w:val="Bullet1"/>
        <w:numPr>
          <w:ilvl w:val="0"/>
          <w:numId w:val="2"/>
        </w:numPr>
        <w:tabs>
          <w:tab w:val="clear" w:pos="360"/>
          <w:tab w:val="clear" w:pos="720"/>
        </w:tabs>
        <w:suppressAutoHyphens w:val="0"/>
        <w:adjustRightInd/>
        <w:spacing w:after="0" w:line="260" w:lineRule="atLeast"/>
        <w:ind w:left="360"/>
        <w:textAlignment w:val="auto"/>
        <w:rPr>
          <w:rFonts w:ascii="Arial" w:hAnsi="Arial" w:cs="Arial"/>
          <w:b/>
          <w:bCs/>
          <w:sz w:val="20"/>
        </w:rPr>
      </w:pPr>
      <w:r w:rsidRPr="00D83F67">
        <w:rPr>
          <w:rFonts w:ascii="Arial" w:hAnsi="Arial" w:cs="Arial"/>
          <w:b/>
          <w:bCs/>
          <w:sz w:val="20"/>
        </w:rPr>
        <w:t>Fixed asset equipment and vehicles</w:t>
      </w:r>
    </w:p>
    <w:p w14:paraId="720C49B1" w14:textId="77777777" w:rsidR="003E38E1" w:rsidRPr="00D83F67" w:rsidRDefault="003E38E1" w:rsidP="003E38E1">
      <w:pPr>
        <w:pStyle w:val="Bullet2"/>
        <w:numPr>
          <w:ilvl w:val="0"/>
          <w:numId w:val="7"/>
        </w:numPr>
        <w:tabs>
          <w:tab w:val="clear" w:pos="720"/>
        </w:tabs>
        <w:suppressAutoHyphens w:val="0"/>
        <w:adjustRightInd/>
        <w:spacing w:before="120" w:after="0" w:line="260" w:lineRule="atLeast"/>
        <w:ind w:left="720"/>
        <w:textAlignment w:val="auto"/>
        <w:rPr>
          <w:rFonts w:ascii="Arial" w:hAnsi="Arial" w:cs="Arial"/>
          <w:sz w:val="20"/>
        </w:rPr>
      </w:pPr>
      <w:r w:rsidRPr="00D83F67">
        <w:rPr>
          <w:rFonts w:ascii="Arial" w:hAnsi="Arial" w:cs="Arial"/>
          <w:sz w:val="20"/>
        </w:rPr>
        <w:lastRenderedPageBreak/>
        <w:t>Obtain an understanding of the Company’s current equipment, including:</w:t>
      </w:r>
    </w:p>
    <w:p w14:paraId="5C740429" w14:textId="77777777" w:rsidR="003E38E1" w:rsidRPr="00D83F67" w:rsidRDefault="003E38E1" w:rsidP="003E38E1">
      <w:pPr>
        <w:pStyle w:val="Bullet2"/>
        <w:numPr>
          <w:ilvl w:val="1"/>
          <w:numId w:val="7"/>
        </w:numPr>
        <w:tabs>
          <w:tab w:val="clear" w:pos="720"/>
        </w:tabs>
        <w:suppressAutoHyphens w:val="0"/>
        <w:adjustRightInd/>
        <w:spacing w:after="0" w:line="260" w:lineRule="atLeast"/>
        <w:ind w:left="1170"/>
        <w:textAlignment w:val="auto"/>
        <w:rPr>
          <w:rFonts w:ascii="Arial" w:hAnsi="Arial" w:cs="Arial"/>
          <w:sz w:val="20"/>
        </w:rPr>
      </w:pPr>
      <w:r w:rsidRPr="00D83F67">
        <w:rPr>
          <w:rFonts w:ascii="Arial" w:hAnsi="Arial" w:cs="Arial"/>
          <w:sz w:val="20"/>
        </w:rPr>
        <w:t>Mix of owned versus leased equipment/ vehicles;</w:t>
      </w:r>
    </w:p>
    <w:p w14:paraId="69D07248" w14:textId="77777777" w:rsidR="003E38E1" w:rsidRPr="00D83F67" w:rsidRDefault="003E38E1" w:rsidP="003E38E1">
      <w:pPr>
        <w:pStyle w:val="Bullet2"/>
        <w:numPr>
          <w:ilvl w:val="1"/>
          <w:numId w:val="7"/>
        </w:numPr>
        <w:tabs>
          <w:tab w:val="clear" w:pos="720"/>
        </w:tabs>
        <w:suppressAutoHyphens w:val="0"/>
        <w:adjustRightInd/>
        <w:spacing w:after="0" w:line="260" w:lineRule="atLeast"/>
        <w:ind w:left="1170"/>
        <w:textAlignment w:val="auto"/>
        <w:rPr>
          <w:rFonts w:ascii="Arial" w:hAnsi="Arial" w:cs="Arial"/>
          <w:sz w:val="20"/>
        </w:rPr>
      </w:pPr>
      <w:r w:rsidRPr="00D83F67">
        <w:rPr>
          <w:rFonts w:ascii="Arial" w:hAnsi="Arial" w:cs="Arial"/>
          <w:sz w:val="20"/>
        </w:rPr>
        <w:t>Average age of equipment/ vehicles;</w:t>
      </w:r>
    </w:p>
    <w:p w14:paraId="7CBD28BE" w14:textId="77777777" w:rsidR="003E38E1" w:rsidRPr="00D83F67" w:rsidRDefault="003E38E1" w:rsidP="003E38E1">
      <w:pPr>
        <w:pStyle w:val="Bullet2"/>
        <w:numPr>
          <w:ilvl w:val="0"/>
          <w:numId w:val="7"/>
        </w:numPr>
        <w:tabs>
          <w:tab w:val="clear" w:pos="720"/>
        </w:tabs>
        <w:suppressAutoHyphens w:val="0"/>
        <w:adjustRightInd/>
        <w:spacing w:after="0" w:line="260" w:lineRule="atLeast"/>
        <w:ind w:left="720"/>
        <w:textAlignment w:val="auto"/>
        <w:rPr>
          <w:rFonts w:ascii="Arial" w:hAnsi="Arial" w:cs="Arial"/>
          <w:sz w:val="20"/>
        </w:rPr>
      </w:pPr>
      <w:r w:rsidRPr="00D83F67">
        <w:rPr>
          <w:rFonts w:ascii="Arial" w:hAnsi="Arial" w:cs="Arial"/>
          <w:sz w:val="20"/>
        </w:rPr>
        <w:t>For leased fleet, understand the annual payment requirements;</w:t>
      </w:r>
    </w:p>
    <w:p w14:paraId="7FD0F323" w14:textId="77777777" w:rsidR="003E38E1" w:rsidRPr="00D83F67" w:rsidRDefault="003E38E1" w:rsidP="003E38E1">
      <w:pPr>
        <w:pStyle w:val="Bullet2"/>
        <w:numPr>
          <w:ilvl w:val="0"/>
          <w:numId w:val="7"/>
        </w:numPr>
        <w:tabs>
          <w:tab w:val="clear" w:pos="720"/>
        </w:tabs>
        <w:suppressAutoHyphens w:val="0"/>
        <w:adjustRightInd/>
        <w:spacing w:after="0" w:line="260" w:lineRule="atLeast"/>
        <w:ind w:left="720"/>
        <w:textAlignment w:val="auto"/>
        <w:rPr>
          <w:rFonts w:ascii="Arial" w:hAnsi="Arial" w:cs="Arial"/>
          <w:sz w:val="20"/>
        </w:rPr>
      </w:pPr>
      <w:r w:rsidRPr="00D83F67">
        <w:rPr>
          <w:rFonts w:ascii="Arial" w:hAnsi="Arial" w:cs="Arial"/>
          <w:sz w:val="20"/>
        </w:rPr>
        <w:t>For owned fleet, obtain details of historical capital expenditures and comment on planned, committed, and deferred capital expenditures.</w:t>
      </w:r>
    </w:p>
    <w:p w14:paraId="0E0C7822" w14:textId="77777777" w:rsidR="003E38E1" w:rsidRPr="00D83F67" w:rsidRDefault="003E38E1" w:rsidP="003E38E1">
      <w:pPr>
        <w:pStyle w:val="Bullet1"/>
        <w:ind w:firstLine="0"/>
        <w:rPr>
          <w:rFonts w:ascii="Arial" w:hAnsi="Arial" w:cs="Arial"/>
          <w:b/>
          <w:bCs/>
          <w:sz w:val="20"/>
        </w:rPr>
      </w:pPr>
    </w:p>
    <w:p w14:paraId="0F6971EB" w14:textId="77777777" w:rsidR="003E38E1" w:rsidRPr="00D83F67" w:rsidRDefault="003E38E1" w:rsidP="003E38E1">
      <w:pPr>
        <w:pStyle w:val="Bullet1"/>
        <w:numPr>
          <w:ilvl w:val="0"/>
          <w:numId w:val="2"/>
        </w:numPr>
        <w:tabs>
          <w:tab w:val="clear" w:pos="360"/>
          <w:tab w:val="clear" w:pos="720"/>
        </w:tabs>
        <w:suppressAutoHyphens w:val="0"/>
        <w:adjustRightInd/>
        <w:spacing w:after="0" w:line="260" w:lineRule="atLeast"/>
        <w:ind w:left="360"/>
        <w:textAlignment w:val="auto"/>
        <w:rPr>
          <w:rFonts w:ascii="Arial" w:hAnsi="Arial" w:cs="Arial"/>
          <w:b/>
          <w:bCs/>
          <w:sz w:val="20"/>
        </w:rPr>
      </w:pPr>
      <w:r w:rsidRPr="00D83F67">
        <w:rPr>
          <w:rFonts w:ascii="Arial" w:hAnsi="Arial" w:cs="Arial"/>
          <w:b/>
          <w:bCs/>
          <w:sz w:val="20"/>
        </w:rPr>
        <w:t>Net debt and other assets/liabilities</w:t>
      </w:r>
    </w:p>
    <w:p w14:paraId="5B43F55F" w14:textId="77777777" w:rsidR="003E38E1" w:rsidRPr="00D83F67" w:rsidRDefault="003E38E1" w:rsidP="003E38E1">
      <w:pPr>
        <w:pStyle w:val="Bullet1"/>
        <w:numPr>
          <w:ilvl w:val="0"/>
          <w:numId w:val="9"/>
        </w:numPr>
        <w:tabs>
          <w:tab w:val="clear" w:pos="360"/>
        </w:tabs>
        <w:suppressAutoHyphens w:val="0"/>
        <w:adjustRightInd/>
        <w:spacing w:before="120" w:after="0" w:line="240" w:lineRule="auto"/>
        <w:ind w:left="720"/>
        <w:textAlignment w:val="auto"/>
        <w:rPr>
          <w:rFonts w:ascii="Arial" w:hAnsi="Arial" w:cs="Arial"/>
          <w:sz w:val="20"/>
        </w:rPr>
      </w:pPr>
      <w:r w:rsidRPr="00D83F67">
        <w:rPr>
          <w:rFonts w:ascii="Arial" w:hAnsi="Arial" w:cs="Arial"/>
          <w:sz w:val="20"/>
        </w:rPr>
        <w:t xml:space="preserve">Prepare a summary of debt and debt-like items (e.g. notes payable, letters of credit, capital vendor payables, deferred revenue, pension deficit, warranty matters, exposure from onerous contracts, contingent matters, etc.), other assets, and liabilities and comment on unusual items, significant fluctuations and significant balances. </w:t>
      </w:r>
    </w:p>
    <w:p w14:paraId="592935C5" w14:textId="77777777" w:rsidR="003E38E1" w:rsidRPr="00D83F67" w:rsidRDefault="003E38E1" w:rsidP="003E38E1">
      <w:pPr>
        <w:pStyle w:val="Bullet1"/>
        <w:numPr>
          <w:ilvl w:val="0"/>
          <w:numId w:val="9"/>
        </w:numPr>
        <w:tabs>
          <w:tab w:val="clear" w:pos="360"/>
        </w:tabs>
        <w:suppressAutoHyphens w:val="0"/>
        <w:adjustRightInd/>
        <w:spacing w:after="0" w:line="240" w:lineRule="auto"/>
        <w:ind w:left="720"/>
        <w:textAlignment w:val="auto"/>
        <w:rPr>
          <w:rFonts w:ascii="Arial" w:hAnsi="Arial" w:cs="Arial"/>
          <w:sz w:val="20"/>
        </w:rPr>
      </w:pPr>
      <w:r w:rsidRPr="00D83F67">
        <w:rPr>
          <w:rFonts w:ascii="Arial" w:hAnsi="Arial" w:cs="Arial"/>
          <w:sz w:val="20"/>
        </w:rPr>
        <w:t>Summary of lease right-of-use assets and liabilities.</w:t>
      </w:r>
    </w:p>
    <w:p w14:paraId="1D00B4DD" w14:textId="77777777" w:rsidR="003E38E1" w:rsidRPr="00D83F67" w:rsidRDefault="003E38E1" w:rsidP="003E38E1">
      <w:pPr>
        <w:pStyle w:val="Bullet1"/>
        <w:spacing w:line="240" w:lineRule="auto"/>
        <w:ind w:left="990" w:firstLine="0"/>
        <w:rPr>
          <w:rFonts w:ascii="Arial" w:hAnsi="Arial" w:cs="Arial"/>
          <w:sz w:val="20"/>
        </w:rPr>
      </w:pPr>
    </w:p>
    <w:p w14:paraId="3F274426" w14:textId="77777777" w:rsidR="003E38E1" w:rsidRPr="00D83F67" w:rsidRDefault="003E38E1" w:rsidP="003E38E1">
      <w:pPr>
        <w:pStyle w:val="Bullet1"/>
        <w:numPr>
          <w:ilvl w:val="0"/>
          <w:numId w:val="2"/>
        </w:numPr>
        <w:tabs>
          <w:tab w:val="clear" w:pos="360"/>
          <w:tab w:val="clear" w:pos="720"/>
        </w:tabs>
        <w:suppressAutoHyphens w:val="0"/>
        <w:adjustRightInd/>
        <w:spacing w:line="240" w:lineRule="auto"/>
        <w:ind w:left="360"/>
        <w:textAlignment w:val="auto"/>
        <w:rPr>
          <w:rFonts w:ascii="Arial" w:hAnsi="Arial" w:cs="Arial"/>
          <w:b/>
          <w:bCs/>
          <w:sz w:val="20"/>
        </w:rPr>
      </w:pPr>
      <w:r w:rsidRPr="00D83F67">
        <w:rPr>
          <w:rFonts w:ascii="Arial" w:hAnsi="Arial" w:cs="Arial"/>
          <w:b/>
          <w:bCs/>
          <w:sz w:val="20"/>
        </w:rPr>
        <w:t>Related parties</w:t>
      </w:r>
    </w:p>
    <w:p w14:paraId="606E32AE" w14:textId="77777777" w:rsidR="003E38E1" w:rsidRPr="00D83F67" w:rsidRDefault="003E38E1" w:rsidP="003E38E1">
      <w:pPr>
        <w:pStyle w:val="Bullet1"/>
        <w:spacing w:line="240" w:lineRule="auto"/>
        <w:ind w:firstLine="0"/>
        <w:rPr>
          <w:rFonts w:ascii="Arial" w:hAnsi="Arial" w:cs="Arial"/>
          <w:b/>
          <w:bCs/>
          <w:sz w:val="20"/>
        </w:rPr>
      </w:pPr>
      <w:r w:rsidRPr="00D83F67">
        <w:rPr>
          <w:rFonts w:ascii="Arial" w:hAnsi="Arial" w:cs="Arial"/>
          <w:bCs/>
          <w:sz w:val="20"/>
        </w:rPr>
        <w:t>Inquire about Target’s transactions (e.g. income statement and balance sheet impacts) with related parties including subsidiaries, holding companies, joint ventures, variable interest entities, and other entities under common ownership.</w:t>
      </w:r>
      <w:r w:rsidRPr="00D83F67">
        <w:rPr>
          <w:rFonts w:ascii="Arial" w:hAnsi="Arial" w:cs="Arial"/>
          <w:b/>
          <w:bCs/>
          <w:sz w:val="20"/>
        </w:rPr>
        <w:t xml:space="preserve"> </w:t>
      </w:r>
    </w:p>
    <w:p w14:paraId="7E9B24FC" w14:textId="77777777" w:rsidR="003E38E1" w:rsidRPr="00D83F67" w:rsidRDefault="003E38E1" w:rsidP="003E38E1">
      <w:pPr>
        <w:pStyle w:val="Bullet1"/>
        <w:numPr>
          <w:ilvl w:val="0"/>
          <w:numId w:val="2"/>
        </w:numPr>
        <w:tabs>
          <w:tab w:val="clear" w:pos="360"/>
          <w:tab w:val="clear" w:pos="720"/>
        </w:tabs>
        <w:suppressAutoHyphens w:val="0"/>
        <w:adjustRightInd/>
        <w:spacing w:after="0" w:line="240" w:lineRule="auto"/>
        <w:ind w:left="360"/>
        <w:textAlignment w:val="auto"/>
        <w:rPr>
          <w:rFonts w:ascii="Arial" w:hAnsi="Arial" w:cs="Arial"/>
          <w:b/>
          <w:bCs/>
          <w:sz w:val="20"/>
          <w:lang w:val="en-CA"/>
        </w:rPr>
      </w:pPr>
      <w:r w:rsidRPr="00D83F67">
        <w:rPr>
          <w:rFonts w:ascii="Arial" w:hAnsi="Arial" w:cs="Arial"/>
          <w:b/>
          <w:bCs/>
          <w:sz w:val="20"/>
          <w:lang w:val="en-CA"/>
        </w:rPr>
        <w:t>Commitments and contingencies</w:t>
      </w:r>
    </w:p>
    <w:p w14:paraId="20E6C758" w14:textId="77777777" w:rsidR="003E38E1" w:rsidRPr="00D83F67" w:rsidRDefault="003E38E1" w:rsidP="003E38E1">
      <w:pPr>
        <w:pStyle w:val="Bullet1"/>
        <w:spacing w:line="240" w:lineRule="auto"/>
        <w:ind w:firstLine="0"/>
        <w:rPr>
          <w:rFonts w:ascii="Arial" w:hAnsi="Arial" w:cs="Arial"/>
          <w:sz w:val="20"/>
          <w:lang w:val="en-CA"/>
        </w:rPr>
      </w:pPr>
      <w:r w:rsidRPr="00D83F67">
        <w:rPr>
          <w:rFonts w:ascii="Arial" w:hAnsi="Arial" w:cs="Arial"/>
          <w:sz w:val="20"/>
          <w:lang w:val="en-CA"/>
        </w:rPr>
        <w:t>Obtain and comment on any contingent claims or liabilities including:</w:t>
      </w:r>
    </w:p>
    <w:p w14:paraId="507A2EBE" w14:textId="77777777" w:rsidR="003E38E1" w:rsidRPr="00D83F67" w:rsidRDefault="003E38E1" w:rsidP="003E38E1">
      <w:pPr>
        <w:numPr>
          <w:ilvl w:val="0"/>
          <w:numId w:val="11"/>
        </w:numPr>
        <w:overflowPunct w:val="0"/>
        <w:autoSpaceDE w:val="0"/>
        <w:autoSpaceDN w:val="0"/>
        <w:rPr>
          <w:rFonts w:cs="Arial"/>
          <w:sz w:val="20"/>
          <w:lang w:val="en-CA"/>
        </w:rPr>
      </w:pPr>
      <w:r w:rsidRPr="00D83F67">
        <w:rPr>
          <w:rFonts w:cs="Arial"/>
          <w:sz w:val="20"/>
          <w:lang w:val="en-CA"/>
        </w:rPr>
        <w:t>Contractual obligations, including leases;</w:t>
      </w:r>
    </w:p>
    <w:p w14:paraId="7A601C91" w14:textId="77777777" w:rsidR="003E38E1" w:rsidRPr="00D83F67" w:rsidRDefault="003E38E1" w:rsidP="003E38E1">
      <w:pPr>
        <w:numPr>
          <w:ilvl w:val="0"/>
          <w:numId w:val="11"/>
        </w:numPr>
        <w:overflowPunct w:val="0"/>
        <w:autoSpaceDE w:val="0"/>
        <w:autoSpaceDN w:val="0"/>
        <w:rPr>
          <w:rFonts w:cs="Arial"/>
          <w:sz w:val="20"/>
          <w:lang w:val="en-CA"/>
        </w:rPr>
      </w:pPr>
      <w:r w:rsidRPr="00D83F67">
        <w:rPr>
          <w:rFonts w:cs="Arial"/>
          <w:sz w:val="20"/>
          <w:lang w:val="en-CA"/>
        </w:rPr>
        <w:t>Pending or threatened litigation or investigation by regulatory or other authorities; and</w:t>
      </w:r>
    </w:p>
    <w:p w14:paraId="5434D5F2" w14:textId="77777777" w:rsidR="003E38E1" w:rsidRPr="00D83F67" w:rsidRDefault="003E38E1" w:rsidP="003E38E1">
      <w:pPr>
        <w:pStyle w:val="ListParagraph"/>
        <w:numPr>
          <w:ilvl w:val="0"/>
          <w:numId w:val="11"/>
        </w:numPr>
        <w:tabs>
          <w:tab w:val="clear" w:pos="720"/>
        </w:tabs>
        <w:autoSpaceDE w:val="0"/>
        <w:autoSpaceDN w:val="0"/>
        <w:rPr>
          <w:rFonts w:cs="Arial"/>
          <w:lang w:val="en-CA"/>
        </w:rPr>
      </w:pPr>
      <w:r w:rsidRPr="00D83F67">
        <w:rPr>
          <w:rFonts w:cs="Arial"/>
          <w:lang w:val="en-CA"/>
        </w:rPr>
        <w:t>Other off-balance sheet transactions (including contingencies and guarantees)</w:t>
      </w:r>
      <w:r w:rsidRPr="00D83F67">
        <w:rPr>
          <w:rFonts w:cs="Arial"/>
        </w:rPr>
        <w:t>.</w:t>
      </w:r>
    </w:p>
    <w:p w14:paraId="0A0074B7" w14:textId="77777777" w:rsidR="003E38E1" w:rsidRPr="00D83F67" w:rsidRDefault="003E38E1" w:rsidP="003E38E1">
      <w:pPr>
        <w:rPr>
          <w:rFonts w:cs="Arial"/>
          <w:b/>
          <w:bCs/>
          <w:sz w:val="20"/>
        </w:rPr>
      </w:pPr>
    </w:p>
    <w:p w14:paraId="4E8A551D" w14:textId="77777777" w:rsidR="003E38E1" w:rsidRPr="00D83F67" w:rsidRDefault="003E38E1" w:rsidP="003E38E1">
      <w:pPr>
        <w:rPr>
          <w:rFonts w:cs="Arial"/>
          <w:b/>
          <w:i/>
          <w:sz w:val="20"/>
        </w:rPr>
      </w:pPr>
      <w:r w:rsidRPr="00D83F67">
        <w:rPr>
          <w:rFonts w:cs="Arial"/>
          <w:b/>
          <w:i/>
          <w:sz w:val="20"/>
        </w:rPr>
        <w:t xml:space="preserve">Understanding Target’s accounting and financial reporting environment </w:t>
      </w:r>
    </w:p>
    <w:p w14:paraId="2BF02210" w14:textId="77777777" w:rsidR="003E38E1" w:rsidRPr="00D83F67" w:rsidRDefault="003E38E1" w:rsidP="003E38E1">
      <w:pPr>
        <w:rPr>
          <w:rFonts w:cs="Arial"/>
          <w:b/>
          <w:i/>
          <w:sz w:val="20"/>
        </w:rPr>
      </w:pPr>
    </w:p>
    <w:p w14:paraId="36578233" w14:textId="77777777" w:rsidR="003E38E1" w:rsidRPr="00D83F67" w:rsidRDefault="003E38E1" w:rsidP="003E38E1">
      <w:pPr>
        <w:pStyle w:val="Bullet1"/>
        <w:numPr>
          <w:ilvl w:val="0"/>
          <w:numId w:val="2"/>
        </w:numPr>
        <w:tabs>
          <w:tab w:val="clear" w:pos="360"/>
          <w:tab w:val="clear" w:pos="720"/>
          <w:tab w:val="left" w:pos="810"/>
        </w:tabs>
        <w:suppressAutoHyphens w:val="0"/>
        <w:adjustRightInd/>
        <w:spacing w:after="0" w:line="240" w:lineRule="auto"/>
        <w:ind w:left="360"/>
        <w:textAlignment w:val="auto"/>
        <w:rPr>
          <w:rFonts w:ascii="Arial" w:hAnsi="Arial" w:cs="Arial"/>
          <w:b/>
          <w:bCs/>
          <w:sz w:val="20"/>
        </w:rPr>
      </w:pPr>
      <w:r w:rsidRPr="00D83F67">
        <w:rPr>
          <w:rFonts w:ascii="Arial" w:hAnsi="Arial" w:cs="Arial"/>
          <w:b/>
          <w:bCs/>
          <w:sz w:val="20"/>
        </w:rPr>
        <w:t>Accounting overview</w:t>
      </w:r>
    </w:p>
    <w:p w14:paraId="562AB5D1" w14:textId="77777777" w:rsidR="003E38E1" w:rsidRPr="00D83F67" w:rsidRDefault="003E38E1" w:rsidP="003E38E1">
      <w:pPr>
        <w:pStyle w:val="Bullet1"/>
        <w:tabs>
          <w:tab w:val="left" w:pos="810"/>
        </w:tabs>
        <w:spacing w:line="240" w:lineRule="auto"/>
        <w:ind w:firstLine="0"/>
        <w:rPr>
          <w:rFonts w:ascii="Arial" w:hAnsi="Arial" w:cs="Arial"/>
          <w:b/>
          <w:bCs/>
          <w:sz w:val="20"/>
        </w:rPr>
      </w:pPr>
      <w:r w:rsidRPr="00D83F67">
        <w:rPr>
          <w:rFonts w:ascii="Arial" w:hAnsi="Arial" w:cs="Arial"/>
          <w:sz w:val="20"/>
        </w:rPr>
        <w:t>Understand and summarize the financial statement preparation process, including:</w:t>
      </w:r>
    </w:p>
    <w:p w14:paraId="3F8E0438" w14:textId="77777777" w:rsidR="003E38E1" w:rsidRPr="00D83F67" w:rsidRDefault="003E38E1" w:rsidP="003E38E1">
      <w:pPr>
        <w:pStyle w:val="Bullet2"/>
        <w:numPr>
          <w:ilvl w:val="0"/>
          <w:numId w:val="3"/>
        </w:numPr>
        <w:tabs>
          <w:tab w:val="clear" w:pos="700"/>
        </w:tabs>
        <w:suppressAutoHyphens w:val="0"/>
        <w:overflowPunct/>
        <w:autoSpaceDE/>
        <w:adjustRightInd/>
        <w:spacing w:after="0" w:line="240" w:lineRule="auto"/>
        <w:ind w:left="720"/>
        <w:textAlignment w:val="auto"/>
        <w:rPr>
          <w:rFonts w:ascii="Arial" w:hAnsi="Arial" w:cs="Arial"/>
          <w:sz w:val="20"/>
        </w:rPr>
      </w:pPr>
      <w:r w:rsidRPr="00D83F67">
        <w:rPr>
          <w:rFonts w:ascii="Arial" w:hAnsi="Arial" w:cs="Arial"/>
          <w:sz w:val="20"/>
        </w:rPr>
        <w:t>Finance function, financial reporting framework, and management reporting relationships (including process, timing, structure of financial reporting, and interaction with the information/ accounting systems);</w:t>
      </w:r>
    </w:p>
    <w:p w14:paraId="4644A465" w14:textId="77777777" w:rsidR="003E38E1" w:rsidRPr="00D83F67" w:rsidRDefault="003E38E1" w:rsidP="003E38E1">
      <w:pPr>
        <w:pStyle w:val="Bullet2"/>
        <w:numPr>
          <w:ilvl w:val="0"/>
          <w:numId w:val="3"/>
        </w:numPr>
        <w:tabs>
          <w:tab w:val="clear" w:pos="700"/>
        </w:tabs>
        <w:suppressAutoHyphens w:val="0"/>
        <w:overflowPunct/>
        <w:autoSpaceDE/>
        <w:adjustRightInd/>
        <w:spacing w:after="0" w:line="240" w:lineRule="auto"/>
        <w:ind w:left="720"/>
        <w:textAlignment w:val="auto"/>
        <w:rPr>
          <w:rFonts w:ascii="Arial" w:hAnsi="Arial" w:cs="Arial"/>
          <w:sz w:val="20"/>
        </w:rPr>
      </w:pPr>
      <w:r w:rsidRPr="00D83F67">
        <w:rPr>
          <w:rFonts w:ascii="Arial" w:hAnsi="Arial" w:cs="Arial"/>
          <w:sz w:val="20"/>
        </w:rPr>
        <w:t>Integration of recent acquisitions and status of any ongoing integration processes;</w:t>
      </w:r>
    </w:p>
    <w:p w14:paraId="52639E8B" w14:textId="77777777" w:rsidR="003E38E1" w:rsidRPr="00D83F67" w:rsidRDefault="003E38E1" w:rsidP="003E38E1">
      <w:pPr>
        <w:pStyle w:val="Bullet2"/>
        <w:numPr>
          <w:ilvl w:val="0"/>
          <w:numId w:val="3"/>
        </w:numPr>
        <w:tabs>
          <w:tab w:val="clear" w:pos="700"/>
        </w:tabs>
        <w:suppressAutoHyphens w:val="0"/>
        <w:overflowPunct/>
        <w:autoSpaceDE/>
        <w:adjustRightInd/>
        <w:spacing w:after="0" w:line="240" w:lineRule="auto"/>
        <w:ind w:left="720"/>
        <w:textAlignment w:val="auto"/>
        <w:rPr>
          <w:rFonts w:ascii="Arial" w:hAnsi="Arial" w:cs="Arial"/>
          <w:sz w:val="20"/>
        </w:rPr>
      </w:pPr>
      <w:r w:rsidRPr="00D83F67">
        <w:rPr>
          <w:rFonts w:ascii="Arial" w:hAnsi="Arial" w:cs="Arial"/>
          <w:sz w:val="20"/>
        </w:rPr>
        <w:t>Significant accounts estimates and any recent or contemplated changes in accounting principles, procedures, or estimates.</w:t>
      </w:r>
    </w:p>
    <w:p w14:paraId="52C60AE5" w14:textId="77777777" w:rsidR="003E38E1" w:rsidRPr="00D83F67" w:rsidRDefault="003E38E1" w:rsidP="003E38E1">
      <w:pPr>
        <w:pStyle w:val="Bullet2"/>
        <w:numPr>
          <w:ilvl w:val="0"/>
          <w:numId w:val="3"/>
        </w:numPr>
        <w:tabs>
          <w:tab w:val="clear" w:pos="700"/>
        </w:tabs>
        <w:suppressAutoHyphens w:val="0"/>
        <w:overflowPunct/>
        <w:autoSpaceDE/>
        <w:adjustRightInd/>
        <w:spacing w:after="0" w:line="240" w:lineRule="auto"/>
        <w:ind w:left="720"/>
        <w:textAlignment w:val="auto"/>
        <w:rPr>
          <w:rFonts w:ascii="Arial" w:hAnsi="Arial" w:cs="Arial"/>
          <w:sz w:val="20"/>
        </w:rPr>
      </w:pPr>
      <w:r w:rsidRPr="00D83F67">
        <w:rPr>
          <w:rFonts w:ascii="Arial" w:hAnsi="Arial" w:cs="Arial"/>
          <w:sz w:val="20"/>
        </w:rPr>
        <w:t>If available, understand the reviewed statements unrecorded differences, management letter points, and other significant findings encountered during the annual review.</w:t>
      </w:r>
    </w:p>
    <w:p w14:paraId="129CC936" w14:textId="77777777" w:rsidR="003E38E1" w:rsidRPr="00D83F67" w:rsidRDefault="003E38E1" w:rsidP="003E38E1">
      <w:pPr>
        <w:pStyle w:val="Bullet1"/>
        <w:spacing w:line="240" w:lineRule="auto"/>
        <w:ind w:left="0" w:firstLine="0"/>
        <w:rPr>
          <w:rFonts w:ascii="Arial" w:hAnsi="Arial" w:cs="Arial"/>
          <w:sz w:val="20"/>
        </w:rPr>
      </w:pPr>
    </w:p>
    <w:p w14:paraId="23DFE42D" w14:textId="77777777" w:rsidR="003E38E1" w:rsidRPr="00D83F67" w:rsidRDefault="003E38E1" w:rsidP="003E38E1">
      <w:pPr>
        <w:pStyle w:val="BodyText"/>
        <w:rPr>
          <w:rFonts w:cs="Arial"/>
          <w:b/>
          <w:bCs/>
          <w:sz w:val="20"/>
        </w:rPr>
      </w:pPr>
      <w:r w:rsidRPr="00D83F67">
        <w:rPr>
          <w:rFonts w:cs="Arial"/>
          <w:b/>
          <w:bCs/>
          <w:sz w:val="20"/>
        </w:rPr>
        <w:t>--------------------------------------------------------------------------------------------------------------------------------------------</w:t>
      </w:r>
    </w:p>
    <w:p w14:paraId="5F4157BB" w14:textId="77777777" w:rsidR="003E38E1" w:rsidRPr="00D83F67" w:rsidRDefault="003E38E1" w:rsidP="003E38E1">
      <w:pPr>
        <w:tabs>
          <w:tab w:val="left" w:pos="8568"/>
        </w:tabs>
        <w:rPr>
          <w:rFonts w:cs="Arial"/>
          <w:b/>
          <w:i/>
          <w:sz w:val="20"/>
          <w:u w:val="single"/>
          <w:lang w:val="en-GB"/>
        </w:rPr>
      </w:pPr>
    </w:p>
    <w:p w14:paraId="68CF826A" w14:textId="77777777" w:rsidR="003E38E1" w:rsidRPr="00D83F67" w:rsidRDefault="003E38E1" w:rsidP="003E38E1">
      <w:pPr>
        <w:pStyle w:val="BodyText"/>
        <w:rPr>
          <w:rFonts w:cs="Arial"/>
          <w:b/>
          <w:bCs/>
          <w:i/>
          <w:iCs/>
          <w:sz w:val="20"/>
          <w:u w:val="single"/>
        </w:rPr>
      </w:pPr>
      <w:r w:rsidRPr="00D83F67">
        <w:rPr>
          <w:rFonts w:cs="Arial"/>
          <w:b/>
          <w:bCs/>
          <w:i/>
          <w:iCs/>
          <w:sz w:val="20"/>
          <w:u w:val="single"/>
        </w:rPr>
        <w:t>Accounting comparison (IFRS vs ASPE)</w:t>
      </w:r>
    </w:p>
    <w:p w14:paraId="7BCB0268" w14:textId="77777777" w:rsidR="003E38E1" w:rsidRPr="005F791A" w:rsidRDefault="003E38E1" w:rsidP="003E38E1">
      <w:pPr>
        <w:pStyle w:val="BodyText"/>
        <w:rPr>
          <w:rFonts w:cs="Arial"/>
          <w:sz w:val="20"/>
          <w:lang w:val="en-GB"/>
        </w:rPr>
      </w:pPr>
      <w:r w:rsidRPr="005F791A">
        <w:rPr>
          <w:rFonts w:cs="Arial"/>
          <w:sz w:val="20"/>
          <w:lang w:val="en-GB"/>
        </w:rPr>
        <w:t xml:space="preserve">Understanding Target’s accounting and financial reporting environment </w:t>
      </w:r>
    </w:p>
    <w:p w14:paraId="3628512F" w14:textId="77777777" w:rsidR="003E38E1" w:rsidRPr="005F791A" w:rsidRDefault="003E38E1" w:rsidP="003E38E1">
      <w:pPr>
        <w:pStyle w:val="BodyText"/>
        <w:numPr>
          <w:ilvl w:val="0"/>
          <w:numId w:val="23"/>
        </w:numPr>
        <w:overflowPunct w:val="0"/>
        <w:autoSpaceDE w:val="0"/>
        <w:autoSpaceDN w:val="0"/>
        <w:spacing w:before="0" w:after="240"/>
        <w:jc w:val="both"/>
        <w:rPr>
          <w:rFonts w:cs="Arial"/>
          <w:sz w:val="20"/>
          <w:lang w:val="en-GB"/>
        </w:rPr>
      </w:pPr>
      <w:r w:rsidRPr="005F791A">
        <w:rPr>
          <w:rFonts w:cs="Arial"/>
          <w:sz w:val="20"/>
          <w:lang w:val="en-GB"/>
        </w:rPr>
        <w:t>Target’s accounting policies and the key differences with IFRS Accounting Standards as applied by Bird Construction</w:t>
      </w:r>
    </w:p>
    <w:p w14:paraId="43BF4639" w14:textId="77777777" w:rsidR="003E38E1" w:rsidRPr="005F791A" w:rsidRDefault="003E38E1" w:rsidP="003E38E1">
      <w:pPr>
        <w:pStyle w:val="BodyText"/>
        <w:rPr>
          <w:rFonts w:cs="Arial"/>
          <w:sz w:val="20"/>
          <w:lang w:val="en-GB"/>
        </w:rPr>
      </w:pPr>
      <w:proofErr w:type="spellStart"/>
      <w:r w:rsidRPr="005F791A">
        <w:rPr>
          <w:rFonts w:cs="Arial"/>
          <w:sz w:val="20"/>
          <w:lang w:val="en-GB"/>
        </w:rPr>
        <w:t>Analyze</w:t>
      </w:r>
      <w:proofErr w:type="spellEnd"/>
      <w:r w:rsidRPr="005F791A">
        <w:rPr>
          <w:rFonts w:cs="Arial"/>
          <w:sz w:val="20"/>
          <w:lang w:val="en-GB"/>
        </w:rPr>
        <w:t xml:space="preserve"> the accounting policies as disclosed in the audited financial statements and perform a high-level gap assessment to identify differences between the Target’s accounting policies and practices and IFRS Accounting Standards as applied by Bird Construction Inc.</w:t>
      </w:r>
    </w:p>
    <w:p w14:paraId="1BF5E3DB" w14:textId="77777777" w:rsidR="003E38E1" w:rsidRPr="005F791A" w:rsidRDefault="003E38E1" w:rsidP="003E38E1">
      <w:pPr>
        <w:pStyle w:val="BodyText"/>
        <w:rPr>
          <w:rFonts w:cs="Arial"/>
          <w:sz w:val="20"/>
          <w:lang w:val="en-GB"/>
        </w:rPr>
      </w:pPr>
    </w:p>
    <w:p w14:paraId="433318A8" w14:textId="77777777" w:rsidR="003E38E1" w:rsidRPr="005F791A" w:rsidRDefault="003E38E1" w:rsidP="003E38E1">
      <w:pPr>
        <w:pStyle w:val="BodyText"/>
        <w:rPr>
          <w:rFonts w:cs="Arial"/>
          <w:sz w:val="20"/>
          <w:lang w:val="en-GB"/>
        </w:rPr>
      </w:pPr>
      <w:r w:rsidRPr="005F791A">
        <w:rPr>
          <w:rFonts w:cs="Arial"/>
          <w:sz w:val="20"/>
          <w:lang w:val="en-GB"/>
        </w:rPr>
        <w:lastRenderedPageBreak/>
        <w:t>(Following the high-level gap assessment, if a more detailed gap assessment is required, we will work with Client to identify topics for further analysis and the estimate fees for the incremental analysis.)</w:t>
      </w:r>
    </w:p>
    <w:p w14:paraId="1A45C58B" w14:textId="77777777" w:rsidR="003E38E1" w:rsidRPr="00D83F67" w:rsidRDefault="003E38E1" w:rsidP="003E38E1">
      <w:pPr>
        <w:tabs>
          <w:tab w:val="left" w:pos="8568"/>
        </w:tabs>
        <w:rPr>
          <w:rFonts w:cs="Arial"/>
          <w:b/>
          <w:i/>
          <w:sz w:val="20"/>
          <w:u w:val="single"/>
          <w:lang w:val="en-GB"/>
        </w:rPr>
      </w:pPr>
    </w:p>
    <w:p w14:paraId="01B8172D" w14:textId="77777777" w:rsidR="003E38E1" w:rsidRPr="00D83F67" w:rsidRDefault="003E38E1" w:rsidP="003E38E1">
      <w:pPr>
        <w:rPr>
          <w:rFonts w:cs="Arial"/>
          <w:sz w:val="20"/>
          <w:lang w:val="en-CA"/>
        </w:rPr>
      </w:pPr>
      <w:r w:rsidRPr="00D83F67">
        <w:rPr>
          <w:rFonts w:cs="Arial"/>
          <w:b/>
          <w:bCs/>
          <w:sz w:val="20"/>
        </w:rPr>
        <w:t>--------------------------------------------------------------------------------------------------------------------------------------------</w:t>
      </w:r>
    </w:p>
    <w:p w14:paraId="0E5DDD3C" w14:textId="77777777" w:rsidR="003E38E1" w:rsidRPr="00D83F67" w:rsidRDefault="003E38E1" w:rsidP="003E38E1">
      <w:pPr>
        <w:rPr>
          <w:rFonts w:cs="Arial"/>
          <w:sz w:val="20"/>
          <w:lang w:val="en-CA"/>
        </w:rPr>
      </w:pPr>
    </w:p>
    <w:p w14:paraId="41FD1001" w14:textId="77777777" w:rsidR="003E38E1" w:rsidRPr="005F791A" w:rsidRDefault="003E38E1" w:rsidP="003E38E1">
      <w:pPr>
        <w:spacing w:before="120" w:after="120"/>
        <w:rPr>
          <w:rFonts w:cs="Arial"/>
          <w:b/>
          <w:bCs/>
          <w:i/>
          <w:iCs/>
          <w:sz w:val="20"/>
          <w:u w:val="single"/>
          <w:lang w:eastAsia="zh-CN"/>
        </w:rPr>
      </w:pPr>
      <w:r w:rsidRPr="005F791A">
        <w:rPr>
          <w:rFonts w:cs="Arial"/>
          <w:b/>
          <w:bCs/>
          <w:i/>
          <w:iCs/>
          <w:sz w:val="20"/>
          <w:u w:val="single"/>
          <w:lang w:eastAsia="zh-CN"/>
        </w:rPr>
        <w:t>Synergy Diligence</w:t>
      </w:r>
    </w:p>
    <w:p w14:paraId="245BD29A" w14:textId="77777777" w:rsidR="003E38E1" w:rsidRPr="005F791A" w:rsidRDefault="003E38E1" w:rsidP="003E38E1">
      <w:pPr>
        <w:spacing w:before="120" w:after="120"/>
        <w:rPr>
          <w:rFonts w:cs="Arial"/>
          <w:sz w:val="20"/>
          <w:lang w:eastAsia="zh-CN"/>
        </w:rPr>
      </w:pPr>
      <w:r w:rsidRPr="005F791A">
        <w:rPr>
          <w:rFonts w:cs="Arial"/>
          <w:sz w:val="20"/>
          <w:lang w:eastAsia="zh-CN"/>
        </w:rPr>
        <w:t>The objective is to quantify the level of synergies available from this transaction. Our primary focus is to develop a defendable and robust case supported by clear rationale and strong evidence. We can produce the synergy case independently or in collaboration with your team by reviewing, challenging, and identifying upsides.  </w:t>
      </w:r>
    </w:p>
    <w:p w14:paraId="71AB286C" w14:textId="77777777" w:rsidR="003E38E1" w:rsidRPr="005F791A" w:rsidRDefault="003E38E1" w:rsidP="003E38E1">
      <w:pPr>
        <w:numPr>
          <w:ilvl w:val="1"/>
          <w:numId w:val="22"/>
        </w:numPr>
        <w:overflowPunct w:val="0"/>
        <w:spacing w:before="120" w:after="120" w:line="260" w:lineRule="atLeast"/>
        <w:rPr>
          <w:rFonts w:cs="Arial"/>
          <w:sz w:val="20"/>
          <w:lang w:eastAsia="zh-CN"/>
        </w:rPr>
      </w:pPr>
      <w:r w:rsidRPr="005F791A">
        <w:rPr>
          <w:rFonts w:cs="Arial"/>
          <w:sz w:val="20"/>
          <w:lang w:eastAsia="zh-CN"/>
        </w:rPr>
        <w:t xml:space="preserve">Understand the future operating model, key integration assumptions and main constraints through documentation review and meetings with Target Management and Client; </w:t>
      </w:r>
    </w:p>
    <w:p w14:paraId="4E3AA634" w14:textId="77777777" w:rsidR="003E38E1" w:rsidRPr="005F791A" w:rsidRDefault="003E38E1" w:rsidP="003E38E1">
      <w:pPr>
        <w:numPr>
          <w:ilvl w:val="1"/>
          <w:numId w:val="22"/>
        </w:numPr>
        <w:overflowPunct w:val="0"/>
        <w:spacing w:before="120" w:after="120" w:line="260" w:lineRule="atLeast"/>
        <w:rPr>
          <w:rFonts w:cs="Arial"/>
          <w:sz w:val="20"/>
          <w:lang w:eastAsia="zh-CN"/>
        </w:rPr>
      </w:pPr>
      <w:r w:rsidRPr="005F791A">
        <w:rPr>
          <w:rFonts w:cs="Arial"/>
          <w:sz w:val="20"/>
          <w:lang w:eastAsia="zh-CN"/>
        </w:rPr>
        <w:t>Develop a high-level Target Operating model by area, functions, and activity, indicating opportunity for synergies;</w:t>
      </w:r>
    </w:p>
    <w:p w14:paraId="3B06F32E" w14:textId="77777777" w:rsidR="003E38E1" w:rsidRPr="005F791A" w:rsidRDefault="003E38E1" w:rsidP="003E38E1">
      <w:pPr>
        <w:numPr>
          <w:ilvl w:val="1"/>
          <w:numId w:val="22"/>
        </w:numPr>
        <w:overflowPunct w:val="0"/>
        <w:spacing w:before="120" w:after="120" w:line="260" w:lineRule="atLeast"/>
        <w:rPr>
          <w:rFonts w:cs="Arial"/>
          <w:sz w:val="20"/>
          <w:lang w:eastAsia="zh-CN"/>
        </w:rPr>
      </w:pPr>
      <w:r w:rsidRPr="005F791A">
        <w:rPr>
          <w:rFonts w:cs="Arial"/>
          <w:sz w:val="20"/>
          <w:lang w:eastAsia="zh-CN"/>
        </w:rPr>
        <w:t>Perform external functional benchmarking of other players in the industry and related industries from publicly available information, KPMG’s previous engagements and from KPMG proprietary Database;</w:t>
      </w:r>
    </w:p>
    <w:p w14:paraId="14AC00D5" w14:textId="77777777" w:rsidR="003E38E1" w:rsidRPr="005F791A" w:rsidRDefault="003E38E1" w:rsidP="003E38E1">
      <w:pPr>
        <w:numPr>
          <w:ilvl w:val="1"/>
          <w:numId w:val="22"/>
        </w:numPr>
        <w:overflowPunct w:val="0"/>
        <w:spacing w:before="120" w:after="120" w:line="260" w:lineRule="atLeast"/>
        <w:rPr>
          <w:rFonts w:cs="Arial"/>
          <w:sz w:val="20"/>
          <w:lang w:eastAsia="zh-CN"/>
        </w:rPr>
      </w:pPr>
      <w:r w:rsidRPr="005F791A">
        <w:rPr>
          <w:rFonts w:cs="Arial"/>
          <w:sz w:val="20"/>
          <w:lang w:eastAsia="zh-CN"/>
        </w:rPr>
        <w:t>Develop assumptions, rationale and calculations supporting various synergy initiatives and perform bottom-up cost modelling complemented by a top down assessment, considering on-going synergies/dis-synergies and economies of scale in the areas such as:</w:t>
      </w:r>
    </w:p>
    <w:p w14:paraId="25A8AC0B" w14:textId="77777777" w:rsidR="003E38E1" w:rsidRPr="005F791A" w:rsidRDefault="003E38E1" w:rsidP="003E38E1">
      <w:pPr>
        <w:numPr>
          <w:ilvl w:val="2"/>
          <w:numId w:val="22"/>
        </w:numPr>
        <w:overflowPunct w:val="0"/>
        <w:spacing w:before="120" w:after="120" w:line="260" w:lineRule="atLeast"/>
        <w:rPr>
          <w:rFonts w:cs="Arial"/>
          <w:sz w:val="20"/>
          <w:lang w:eastAsia="zh-CN"/>
        </w:rPr>
      </w:pPr>
      <w:r w:rsidRPr="005F791A">
        <w:rPr>
          <w:rFonts w:cs="Arial"/>
          <w:sz w:val="20"/>
          <w:lang w:eastAsia="zh-CN"/>
        </w:rPr>
        <w:t>Executive / senior team;</w:t>
      </w:r>
    </w:p>
    <w:p w14:paraId="52DCF278" w14:textId="77777777" w:rsidR="003E38E1" w:rsidRPr="005F791A" w:rsidRDefault="003E38E1" w:rsidP="003E38E1">
      <w:pPr>
        <w:numPr>
          <w:ilvl w:val="2"/>
          <w:numId w:val="22"/>
        </w:numPr>
        <w:overflowPunct w:val="0"/>
        <w:spacing w:before="120" w:after="120" w:line="260" w:lineRule="atLeast"/>
        <w:rPr>
          <w:rFonts w:cs="Arial"/>
          <w:sz w:val="20"/>
          <w:lang w:eastAsia="zh-CN"/>
        </w:rPr>
      </w:pPr>
      <w:r w:rsidRPr="005F791A">
        <w:rPr>
          <w:rFonts w:cs="Arial"/>
          <w:sz w:val="20"/>
          <w:lang w:eastAsia="zh-CN"/>
        </w:rPr>
        <w:t>Back office / G&amp;A FTE and non-FTE (HR, Finance, and Marketing / Sales);</w:t>
      </w:r>
    </w:p>
    <w:p w14:paraId="014EC295" w14:textId="77777777" w:rsidR="003E38E1" w:rsidRPr="005F791A" w:rsidRDefault="003E38E1" w:rsidP="003E38E1">
      <w:pPr>
        <w:numPr>
          <w:ilvl w:val="2"/>
          <w:numId w:val="22"/>
        </w:numPr>
        <w:overflowPunct w:val="0"/>
        <w:spacing w:before="120" w:after="120" w:line="260" w:lineRule="atLeast"/>
        <w:rPr>
          <w:rFonts w:cs="Arial"/>
          <w:sz w:val="20"/>
          <w:lang w:eastAsia="zh-CN"/>
        </w:rPr>
      </w:pPr>
      <w:r w:rsidRPr="005F791A">
        <w:rPr>
          <w:rFonts w:cs="Arial"/>
          <w:sz w:val="20"/>
          <w:lang w:eastAsia="zh-CN"/>
        </w:rPr>
        <w:t>Technology;</w:t>
      </w:r>
    </w:p>
    <w:p w14:paraId="458B9190" w14:textId="77777777" w:rsidR="003E38E1" w:rsidRPr="005F791A" w:rsidRDefault="003E38E1" w:rsidP="003E38E1">
      <w:pPr>
        <w:numPr>
          <w:ilvl w:val="2"/>
          <w:numId w:val="22"/>
        </w:numPr>
        <w:overflowPunct w:val="0"/>
        <w:spacing w:before="120" w:after="120" w:line="260" w:lineRule="atLeast"/>
        <w:rPr>
          <w:rFonts w:cs="Arial"/>
          <w:sz w:val="20"/>
          <w:lang w:eastAsia="zh-CN"/>
        </w:rPr>
      </w:pPr>
      <w:r w:rsidRPr="005F791A">
        <w:rPr>
          <w:rFonts w:cs="Arial"/>
          <w:sz w:val="20"/>
          <w:lang w:eastAsia="zh-CN"/>
        </w:rPr>
        <w:t>Outsourced providers;</w:t>
      </w:r>
    </w:p>
    <w:p w14:paraId="165C2D70" w14:textId="77777777" w:rsidR="003E38E1" w:rsidRPr="005F791A" w:rsidRDefault="003E38E1" w:rsidP="003E38E1">
      <w:pPr>
        <w:numPr>
          <w:ilvl w:val="2"/>
          <w:numId w:val="22"/>
        </w:numPr>
        <w:overflowPunct w:val="0"/>
        <w:spacing w:before="120" w:after="120" w:line="260" w:lineRule="atLeast"/>
        <w:rPr>
          <w:rFonts w:cs="Arial"/>
          <w:sz w:val="20"/>
          <w:lang w:eastAsia="zh-CN"/>
        </w:rPr>
      </w:pPr>
      <w:r w:rsidRPr="005F791A">
        <w:rPr>
          <w:rFonts w:cs="Arial"/>
          <w:sz w:val="20"/>
          <w:lang w:eastAsia="zh-CN"/>
        </w:rPr>
        <w:t>Footprint / facilities rationalization; and</w:t>
      </w:r>
    </w:p>
    <w:p w14:paraId="6947E4BF" w14:textId="77777777" w:rsidR="003E38E1" w:rsidRPr="005F791A" w:rsidRDefault="003E38E1" w:rsidP="003E38E1">
      <w:pPr>
        <w:numPr>
          <w:ilvl w:val="2"/>
          <w:numId w:val="22"/>
        </w:numPr>
        <w:overflowPunct w:val="0"/>
        <w:spacing w:before="120" w:after="120" w:line="260" w:lineRule="atLeast"/>
        <w:rPr>
          <w:rFonts w:cs="Arial"/>
          <w:sz w:val="20"/>
          <w:lang w:eastAsia="zh-CN"/>
        </w:rPr>
      </w:pPr>
      <w:r w:rsidRPr="005F791A">
        <w:rPr>
          <w:rFonts w:cs="Arial"/>
          <w:sz w:val="20"/>
          <w:lang w:eastAsia="zh-CN"/>
        </w:rPr>
        <w:t>Sourcing and procurement synergies for direct &amp; indirect costs.</w:t>
      </w:r>
    </w:p>
    <w:p w14:paraId="061F6309" w14:textId="77777777" w:rsidR="003E38E1" w:rsidRPr="005F791A" w:rsidRDefault="003E38E1" w:rsidP="003E38E1">
      <w:pPr>
        <w:numPr>
          <w:ilvl w:val="1"/>
          <w:numId w:val="22"/>
        </w:numPr>
        <w:overflowPunct w:val="0"/>
        <w:spacing w:before="120" w:after="120" w:line="260" w:lineRule="atLeast"/>
        <w:rPr>
          <w:rFonts w:cs="Arial"/>
          <w:sz w:val="20"/>
          <w:lang w:eastAsia="zh-CN"/>
        </w:rPr>
      </w:pPr>
      <w:r w:rsidRPr="005F791A">
        <w:rPr>
          <w:rFonts w:cs="Arial"/>
          <w:sz w:val="20"/>
          <w:lang w:eastAsia="zh-CN"/>
        </w:rPr>
        <w:t>High-level (quantified where possible) of one-time savings/costs; and</w:t>
      </w:r>
    </w:p>
    <w:p w14:paraId="7D26F61B" w14:textId="77777777" w:rsidR="003E38E1" w:rsidRPr="005F791A" w:rsidRDefault="003E38E1" w:rsidP="003E38E1">
      <w:pPr>
        <w:numPr>
          <w:ilvl w:val="1"/>
          <w:numId w:val="22"/>
        </w:numPr>
        <w:overflowPunct w:val="0"/>
        <w:spacing w:before="120" w:after="120" w:line="260" w:lineRule="atLeast"/>
        <w:rPr>
          <w:rFonts w:cs="Arial"/>
          <w:sz w:val="20"/>
          <w:lang w:eastAsia="zh-CN"/>
        </w:rPr>
      </w:pPr>
      <w:r w:rsidRPr="005F791A">
        <w:rPr>
          <w:rFonts w:cs="Arial"/>
          <w:sz w:val="20"/>
          <w:lang w:eastAsia="zh-CN"/>
        </w:rPr>
        <w:t>Provide overall summary and supporting report of KPMG’s estimate of synergies and propose a range of adjustments to the Quality of Earnings, highlighting additional key risks and upsides.</w:t>
      </w:r>
    </w:p>
    <w:p w14:paraId="5ABC5F98" w14:textId="77777777" w:rsidR="003E38E1" w:rsidRPr="00D83F67" w:rsidRDefault="003E38E1" w:rsidP="003E38E1">
      <w:pPr>
        <w:pStyle w:val="Bullet2"/>
        <w:tabs>
          <w:tab w:val="left" w:pos="450"/>
        </w:tabs>
        <w:overflowPunct/>
        <w:autoSpaceDE/>
        <w:spacing w:line="240" w:lineRule="auto"/>
        <w:ind w:left="0" w:firstLine="0"/>
        <w:rPr>
          <w:rFonts w:ascii="Arial" w:hAnsi="Arial" w:cs="Arial"/>
          <w:sz w:val="20"/>
        </w:rPr>
      </w:pPr>
      <w:r w:rsidRPr="00D83F67">
        <w:rPr>
          <w:rFonts w:ascii="Arial" w:hAnsi="Arial" w:cs="Arial"/>
          <w:sz w:val="20"/>
        </w:rPr>
        <w:t>--------------------------------------------------------------------------------------------------------------------------------------------</w:t>
      </w:r>
    </w:p>
    <w:p w14:paraId="07AC38BE" w14:textId="77777777" w:rsidR="003E38E1" w:rsidRPr="00D83F67" w:rsidRDefault="003E38E1" w:rsidP="003E38E1">
      <w:pPr>
        <w:pStyle w:val="Bullet2"/>
        <w:tabs>
          <w:tab w:val="left" w:pos="450"/>
        </w:tabs>
        <w:overflowPunct/>
        <w:autoSpaceDE/>
        <w:spacing w:line="240" w:lineRule="auto"/>
        <w:ind w:left="0" w:firstLine="0"/>
        <w:rPr>
          <w:rFonts w:ascii="Arial" w:hAnsi="Arial" w:cs="Arial"/>
          <w:sz w:val="20"/>
        </w:rPr>
      </w:pPr>
    </w:p>
    <w:p w14:paraId="7509816D" w14:textId="77777777" w:rsidR="003E38E1" w:rsidRPr="00180FF4" w:rsidRDefault="003E38E1" w:rsidP="003E38E1">
      <w:pPr>
        <w:spacing w:before="120" w:after="120"/>
        <w:rPr>
          <w:rFonts w:cs="Arial"/>
          <w:b/>
          <w:bCs/>
          <w:i/>
          <w:iCs/>
          <w:sz w:val="20"/>
          <w:u w:val="single"/>
        </w:rPr>
      </w:pPr>
      <w:r w:rsidRPr="00180FF4">
        <w:rPr>
          <w:rFonts w:cs="Arial"/>
          <w:b/>
          <w:bCs/>
          <w:i/>
          <w:iCs/>
          <w:sz w:val="20"/>
          <w:u w:val="single"/>
        </w:rPr>
        <w:t>Canadian</w:t>
      </w:r>
      <w:r>
        <w:rPr>
          <w:rFonts w:cs="Arial"/>
          <w:b/>
          <w:bCs/>
          <w:i/>
          <w:iCs/>
          <w:sz w:val="20"/>
          <w:u w:val="single"/>
        </w:rPr>
        <w:t xml:space="preserve"> </w:t>
      </w:r>
      <w:r w:rsidRPr="00180FF4">
        <w:rPr>
          <w:rFonts w:cs="Arial"/>
          <w:b/>
          <w:bCs/>
          <w:i/>
          <w:iCs/>
          <w:sz w:val="20"/>
          <w:u w:val="single"/>
        </w:rPr>
        <w:t>Tax Due Diligence</w:t>
      </w:r>
    </w:p>
    <w:p w14:paraId="08B7197A" w14:textId="77777777" w:rsidR="003E38E1" w:rsidRDefault="003E38E1" w:rsidP="003E38E1">
      <w:pPr>
        <w:shd w:val="clear" w:color="auto" w:fill="FFFFFF" w:themeFill="background1"/>
        <w:spacing w:before="120" w:after="120"/>
        <w:rPr>
          <w:rFonts w:cs="Arial"/>
          <w:sz w:val="20"/>
        </w:rPr>
      </w:pPr>
      <w:r w:rsidRPr="00180FF4">
        <w:rPr>
          <w:rFonts w:cs="Arial"/>
          <w:sz w:val="20"/>
        </w:rPr>
        <w:t xml:space="preserve">Our Canadian tax due diligence procedures will be performed with respect to the proposed investment in </w:t>
      </w:r>
      <w:r w:rsidRPr="00CC2DE2">
        <w:rPr>
          <w:rFonts w:cs="Arial"/>
          <w:b/>
          <w:bCs/>
          <w:sz w:val="20"/>
        </w:rPr>
        <w:t>Fraser River Pile &amp; Dredge (GP) Inc.</w:t>
      </w:r>
      <w:r w:rsidRPr="00180FF4">
        <w:rPr>
          <w:rFonts w:cs="Arial"/>
          <w:sz w:val="20"/>
        </w:rPr>
        <w:t xml:space="preserve"> (the “</w:t>
      </w:r>
      <w:r w:rsidRPr="00180FF4">
        <w:rPr>
          <w:rFonts w:cs="Arial"/>
          <w:b/>
          <w:bCs/>
          <w:sz w:val="20"/>
        </w:rPr>
        <w:t>Target</w:t>
      </w:r>
      <w:r w:rsidRPr="00180FF4">
        <w:rPr>
          <w:rFonts w:cs="Arial"/>
          <w:sz w:val="20"/>
        </w:rPr>
        <w:t xml:space="preserve">”). We understand that </w:t>
      </w:r>
      <w:r>
        <w:rPr>
          <w:rFonts w:cs="Arial"/>
          <w:sz w:val="20"/>
        </w:rPr>
        <w:t>Client</w:t>
      </w:r>
      <w:r w:rsidRPr="00180FF4">
        <w:rPr>
          <w:rFonts w:cs="Arial"/>
          <w:sz w:val="20"/>
        </w:rPr>
        <w:t xml:space="preserve"> may acquire other entities within the Target group. Our scope</w:t>
      </w:r>
      <w:r>
        <w:rPr>
          <w:rFonts w:cs="Arial"/>
          <w:sz w:val="20"/>
        </w:rPr>
        <w:t xml:space="preserve"> and fees</w:t>
      </w:r>
      <w:r w:rsidRPr="00180FF4">
        <w:rPr>
          <w:rFonts w:cs="Arial"/>
          <w:sz w:val="20"/>
        </w:rPr>
        <w:t xml:space="preserve"> will be refined upon review of the corporate structure</w:t>
      </w:r>
      <w:r>
        <w:rPr>
          <w:rFonts w:cs="Arial"/>
          <w:sz w:val="20"/>
        </w:rPr>
        <w:t xml:space="preserve"> and through discussions with you. </w:t>
      </w:r>
    </w:p>
    <w:p w14:paraId="73591FEE" w14:textId="77777777" w:rsidR="003E38E1" w:rsidRPr="00180FF4" w:rsidRDefault="003E38E1" w:rsidP="003E38E1">
      <w:pPr>
        <w:shd w:val="clear" w:color="auto" w:fill="FFFFFF" w:themeFill="background1"/>
        <w:spacing w:before="120" w:after="120"/>
        <w:rPr>
          <w:rFonts w:cs="Arial"/>
          <w:sz w:val="20"/>
        </w:rPr>
      </w:pPr>
      <w:r w:rsidRPr="00180FF4">
        <w:rPr>
          <w:rFonts w:cs="Arial"/>
          <w:sz w:val="20"/>
        </w:rPr>
        <w:t xml:space="preserve">Our scoping procedures below are applicable to each acquired corporation. </w:t>
      </w:r>
    </w:p>
    <w:p w14:paraId="3D2AD9A8" w14:textId="77777777" w:rsidR="003E38E1" w:rsidRPr="00180FF4" w:rsidRDefault="003E38E1" w:rsidP="003E38E1">
      <w:pPr>
        <w:pStyle w:val="ListParagraph"/>
        <w:spacing w:after="120"/>
        <w:ind w:left="0"/>
        <w:rPr>
          <w:rFonts w:cs="Arial"/>
        </w:rPr>
      </w:pPr>
      <w:r w:rsidRPr="00180FF4">
        <w:rPr>
          <w:rFonts w:cs="Arial"/>
        </w:rPr>
        <w:t>Unless otherwise specifically noted below, our scope of work will be restricted to the periods FY20-FY24 and year to date 2025 (“</w:t>
      </w:r>
      <w:r w:rsidRPr="00180FF4">
        <w:rPr>
          <w:rFonts w:cs="Arial"/>
          <w:b/>
          <w:bCs/>
        </w:rPr>
        <w:t>YTD25</w:t>
      </w:r>
      <w:r w:rsidRPr="00180FF4">
        <w:rPr>
          <w:rFonts w:cs="Arial"/>
        </w:rPr>
        <w:t>”) (hereinafter termed as “</w:t>
      </w:r>
      <w:r w:rsidRPr="00180FF4">
        <w:rPr>
          <w:rFonts w:cs="Arial"/>
          <w:i/>
          <w:iCs/>
        </w:rPr>
        <w:t>period under investigation</w:t>
      </w:r>
      <w:r w:rsidRPr="00180FF4">
        <w:rPr>
          <w:rFonts w:cs="Arial"/>
        </w:rPr>
        <w:t xml:space="preserve">"). References to accounts and associated data are for these periods. </w:t>
      </w:r>
    </w:p>
    <w:p w14:paraId="2FECE6F6" w14:textId="77777777" w:rsidR="003E38E1" w:rsidRDefault="003E38E1" w:rsidP="003E38E1">
      <w:pPr>
        <w:spacing w:before="120" w:after="120"/>
        <w:rPr>
          <w:rFonts w:cs="Arial"/>
          <w:sz w:val="20"/>
        </w:rPr>
      </w:pPr>
      <w:r w:rsidRPr="00180FF4">
        <w:rPr>
          <w:rFonts w:cs="Arial"/>
          <w:sz w:val="20"/>
        </w:rPr>
        <w:lastRenderedPageBreak/>
        <w:t>Our deliverable will be a Key Findings Report</w:t>
      </w:r>
      <w:r>
        <w:rPr>
          <w:rFonts w:cs="Arial"/>
          <w:sz w:val="20"/>
        </w:rPr>
        <w:t>, in PowerPoint format,</w:t>
      </w:r>
      <w:r w:rsidRPr="00180FF4">
        <w:rPr>
          <w:rFonts w:cs="Arial"/>
          <w:sz w:val="20"/>
        </w:rPr>
        <w:t xml:space="preserve"> on significant potential tax exposures, and recommendations to mitigate the identified exposures as appropriate. </w:t>
      </w:r>
    </w:p>
    <w:p w14:paraId="2E65388B" w14:textId="77777777" w:rsidR="003E38E1" w:rsidRPr="00180FF4" w:rsidRDefault="003E38E1" w:rsidP="003E38E1">
      <w:pPr>
        <w:spacing w:before="120" w:after="120"/>
        <w:rPr>
          <w:rFonts w:cs="Arial"/>
          <w:sz w:val="20"/>
        </w:rPr>
      </w:pPr>
      <w:r w:rsidRPr="00180FF4">
        <w:rPr>
          <w:rFonts w:cs="Arial"/>
          <w:sz w:val="20"/>
        </w:rPr>
        <w:t xml:space="preserve">We will also comment on potential limitations identified regarding the future availability of tax attributes and related matters. </w:t>
      </w:r>
    </w:p>
    <w:p w14:paraId="7C3709C7" w14:textId="77777777" w:rsidR="003E38E1" w:rsidRPr="00180FF4" w:rsidRDefault="003E38E1" w:rsidP="003E38E1">
      <w:pPr>
        <w:spacing w:before="120" w:after="120"/>
        <w:rPr>
          <w:rFonts w:cs="Arial"/>
          <w:b/>
          <w:bCs/>
          <w:sz w:val="20"/>
        </w:rPr>
      </w:pPr>
      <w:r w:rsidRPr="00180FF4">
        <w:rPr>
          <w:rFonts w:cs="Arial"/>
          <w:b/>
          <w:bCs/>
          <w:sz w:val="20"/>
        </w:rPr>
        <w:t>General</w:t>
      </w:r>
    </w:p>
    <w:p w14:paraId="667F1CF7" w14:textId="77777777" w:rsidR="003E38E1" w:rsidRPr="00180FF4" w:rsidRDefault="003E38E1" w:rsidP="003E38E1">
      <w:pPr>
        <w:pStyle w:val="ListParagraph"/>
        <w:numPr>
          <w:ilvl w:val="0"/>
          <w:numId w:val="17"/>
        </w:numPr>
        <w:autoSpaceDN w:val="0"/>
        <w:spacing w:before="120" w:after="120"/>
        <w:ind w:left="360"/>
        <w:contextualSpacing w:val="0"/>
        <w:rPr>
          <w:rFonts w:cs="Arial"/>
        </w:rPr>
      </w:pPr>
      <w:r w:rsidRPr="00180FF4">
        <w:rPr>
          <w:rFonts w:cs="Arial"/>
        </w:rPr>
        <w:t>Inquire with Target management and/or their tax advisors about:</w:t>
      </w:r>
    </w:p>
    <w:p w14:paraId="35870B5E" w14:textId="77777777" w:rsidR="003E38E1" w:rsidRPr="00180FF4" w:rsidRDefault="003E38E1" w:rsidP="003E38E1">
      <w:pPr>
        <w:pStyle w:val="ListBullet2"/>
        <w:numPr>
          <w:ilvl w:val="0"/>
          <w:numId w:val="18"/>
        </w:numPr>
        <w:rPr>
          <w:rFonts w:cs="Arial"/>
          <w:sz w:val="20"/>
        </w:rPr>
      </w:pPr>
      <w:r w:rsidRPr="00180FF4">
        <w:rPr>
          <w:rFonts w:cs="Arial"/>
          <w:sz w:val="20"/>
        </w:rPr>
        <w:t>Overview of Canadian operations and legal structure;</w:t>
      </w:r>
    </w:p>
    <w:p w14:paraId="18CBF49C" w14:textId="77777777" w:rsidR="003E38E1" w:rsidRPr="00180FF4" w:rsidRDefault="003E38E1" w:rsidP="003E38E1">
      <w:pPr>
        <w:pStyle w:val="ListBullet2"/>
        <w:numPr>
          <w:ilvl w:val="0"/>
          <w:numId w:val="18"/>
        </w:numPr>
        <w:rPr>
          <w:rFonts w:cs="Arial"/>
          <w:sz w:val="20"/>
        </w:rPr>
      </w:pPr>
      <w:r w:rsidRPr="00180FF4">
        <w:rPr>
          <w:rFonts w:cs="Arial"/>
          <w:sz w:val="20"/>
        </w:rPr>
        <w:t xml:space="preserve">Structuring of significant transactions (including strategies, previous acquisitions, dispositions, and reorganizations) and tax treatment thereof; </w:t>
      </w:r>
    </w:p>
    <w:p w14:paraId="6373C7E1" w14:textId="77777777" w:rsidR="003E38E1" w:rsidRPr="00180FF4" w:rsidRDefault="003E38E1" w:rsidP="003E38E1">
      <w:pPr>
        <w:pStyle w:val="ListBullet2"/>
        <w:numPr>
          <w:ilvl w:val="0"/>
          <w:numId w:val="18"/>
        </w:numPr>
        <w:rPr>
          <w:rFonts w:cs="Arial"/>
          <w:sz w:val="20"/>
        </w:rPr>
      </w:pPr>
      <w:r w:rsidRPr="00180FF4">
        <w:rPr>
          <w:rFonts w:cs="Arial"/>
          <w:sz w:val="20"/>
        </w:rPr>
        <w:t>Nature and extent of tax planning arrangements including but not limited to a tax planning arrangement involving redeemable preferred shares as disclosed in the Target’s financial statements;</w:t>
      </w:r>
    </w:p>
    <w:p w14:paraId="6BC80051" w14:textId="77777777" w:rsidR="003E38E1" w:rsidRPr="00180FF4" w:rsidRDefault="003E38E1" w:rsidP="003E38E1">
      <w:pPr>
        <w:pStyle w:val="ListBullet2"/>
        <w:numPr>
          <w:ilvl w:val="0"/>
          <w:numId w:val="18"/>
        </w:numPr>
        <w:rPr>
          <w:rFonts w:cs="Arial"/>
          <w:sz w:val="20"/>
        </w:rPr>
      </w:pPr>
      <w:r w:rsidRPr="00180FF4">
        <w:rPr>
          <w:rFonts w:cs="Arial"/>
          <w:sz w:val="20"/>
        </w:rPr>
        <w:t>Nature of advances made to and received from related parties, any underwater intercorporate debt and potential debt forgiveness considerations;</w:t>
      </w:r>
    </w:p>
    <w:p w14:paraId="72C10DBF" w14:textId="77777777" w:rsidR="003E38E1" w:rsidRPr="00180FF4" w:rsidRDefault="003E38E1" w:rsidP="003E38E1">
      <w:pPr>
        <w:pStyle w:val="ListBullet2"/>
        <w:numPr>
          <w:ilvl w:val="0"/>
          <w:numId w:val="18"/>
        </w:numPr>
        <w:rPr>
          <w:rFonts w:cs="Arial"/>
          <w:sz w:val="20"/>
        </w:rPr>
      </w:pPr>
      <w:r w:rsidRPr="00180FF4">
        <w:rPr>
          <w:rFonts w:cs="Arial"/>
          <w:sz w:val="20"/>
        </w:rPr>
        <w:t>Tax treatment of contract losses and unearned revenue;</w:t>
      </w:r>
    </w:p>
    <w:p w14:paraId="73394EFF" w14:textId="77777777" w:rsidR="003E38E1" w:rsidRPr="00180FF4" w:rsidRDefault="003E38E1" w:rsidP="003E38E1">
      <w:pPr>
        <w:pStyle w:val="ListParagraph"/>
        <w:numPr>
          <w:ilvl w:val="0"/>
          <w:numId w:val="18"/>
        </w:numPr>
        <w:autoSpaceDE w:val="0"/>
        <w:autoSpaceDN w:val="0"/>
        <w:spacing w:before="120" w:after="120"/>
        <w:contextualSpacing w:val="0"/>
        <w:rPr>
          <w:rFonts w:cs="Arial"/>
          <w:lang w:eastAsia="zh-TW"/>
        </w:rPr>
      </w:pPr>
      <w:r w:rsidRPr="00180FF4">
        <w:rPr>
          <w:rFonts w:cs="Arial"/>
          <w:lang w:eastAsia="zh-TW"/>
        </w:rPr>
        <w:t>Canadian subsidies and other relief measures pursued if any, quantum of subsidies received, and tax advice obtained (if applicable);</w:t>
      </w:r>
    </w:p>
    <w:p w14:paraId="78987B27" w14:textId="77777777" w:rsidR="003E38E1" w:rsidRPr="00180FF4" w:rsidRDefault="003E38E1" w:rsidP="003E38E1">
      <w:pPr>
        <w:pStyle w:val="ListParagraph"/>
        <w:numPr>
          <w:ilvl w:val="0"/>
          <w:numId w:val="18"/>
        </w:numPr>
        <w:autoSpaceDE w:val="0"/>
        <w:autoSpaceDN w:val="0"/>
        <w:spacing w:before="120" w:after="120"/>
        <w:contextualSpacing w:val="0"/>
        <w:rPr>
          <w:rFonts w:cs="Arial"/>
        </w:rPr>
      </w:pPr>
      <w:r w:rsidRPr="00180FF4">
        <w:rPr>
          <w:rFonts w:cs="Arial"/>
        </w:rPr>
        <w:t>Any current or expected limitations with respect to interest deductions of Target;</w:t>
      </w:r>
    </w:p>
    <w:p w14:paraId="0CB98460" w14:textId="77777777" w:rsidR="003E38E1" w:rsidRPr="00180FF4" w:rsidRDefault="003E38E1" w:rsidP="003E38E1">
      <w:pPr>
        <w:pStyle w:val="ListBullet2"/>
        <w:numPr>
          <w:ilvl w:val="0"/>
          <w:numId w:val="18"/>
        </w:numPr>
        <w:rPr>
          <w:rFonts w:cs="Arial"/>
          <w:sz w:val="20"/>
        </w:rPr>
      </w:pPr>
      <w:r w:rsidRPr="00180FF4">
        <w:rPr>
          <w:rFonts w:cs="Arial"/>
          <w:sz w:val="20"/>
        </w:rPr>
        <w:t>Results of tax audits including jurisdictions subject to audit, quantum of known or proposed audit adjustments and, status of current/pending audits; and</w:t>
      </w:r>
    </w:p>
    <w:p w14:paraId="44181E6E" w14:textId="77777777" w:rsidR="003E38E1" w:rsidRPr="00180FF4" w:rsidRDefault="003E38E1" w:rsidP="003E38E1">
      <w:pPr>
        <w:pStyle w:val="ListBullet2"/>
        <w:numPr>
          <w:ilvl w:val="0"/>
          <w:numId w:val="18"/>
        </w:numPr>
        <w:rPr>
          <w:rFonts w:cs="Arial"/>
          <w:sz w:val="20"/>
        </w:rPr>
      </w:pPr>
      <w:r w:rsidRPr="00180FF4">
        <w:rPr>
          <w:rFonts w:cs="Arial"/>
          <w:sz w:val="20"/>
        </w:rPr>
        <w:t>Historical tax positions taken including the quantum of reserves for uncertain tax positions included in the financial statements and the basis for those reserves.</w:t>
      </w:r>
    </w:p>
    <w:p w14:paraId="6C544DB5" w14:textId="77777777" w:rsidR="003E38E1" w:rsidRPr="00180FF4" w:rsidRDefault="003E38E1" w:rsidP="003E38E1">
      <w:pPr>
        <w:pStyle w:val="ListParagraph"/>
        <w:numPr>
          <w:ilvl w:val="0"/>
          <w:numId w:val="17"/>
        </w:numPr>
        <w:autoSpaceDN w:val="0"/>
        <w:spacing w:before="120" w:after="120"/>
        <w:ind w:left="360"/>
        <w:contextualSpacing w:val="0"/>
        <w:rPr>
          <w:rFonts w:cs="Arial"/>
        </w:rPr>
      </w:pPr>
      <w:r w:rsidRPr="00180FF4">
        <w:rPr>
          <w:rFonts w:cs="Arial"/>
          <w:lang w:val="en-GB"/>
        </w:rPr>
        <w:t xml:space="preserve">Obtain and read consolidated and standalone financial statements for all periods under investigation. </w:t>
      </w:r>
    </w:p>
    <w:p w14:paraId="7935FA3C" w14:textId="77777777" w:rsidR="003E38E1" w:rsidRPr="00180FF4" w:rsidRDefault="003E38E1" w:rsidP="003E38E1">
      <w:pPr>
        <w:pStyle w:val="ListParagraph"/>
        <w:numPr>
          <w:ilvl w:val="0"/>
          <w:numId w:val="17"/>
        </w:numPr>
        <w:autoSpaceDN w:val="0"/>
        <w:spacing w:before="120" w:after="120"/>
        <w:ind w:left="360"/>
        <w:contextualSpacing w:val="0"/>
        <w:rPr>
          <w:rFonts w:cs="Arial"/>
          <w:lang w:val="en-GB"/>
        </w:rPr>
      </w:pPr>
      <w:r w:rsidRPr="00180FF4">
        <w:rPr>
          <w:rFonts w:cs="Arial"/>
          <w:lang w:val="en-GB"/>
        </w:rPr>
        <w:t>Obtain and read correspondence with tax authorities in respect of significant completed, ongoing and pending tax audits.</w:t>
      </w:r>
    </w:p>
    <w:p w14:paraId="26CDB5C7" w14:textId="77777777" w:rsidR="003E38E1" w:rsidRPr="00CC2DE2" w:rsidRDefault="003E38E1" w:rsidP="003E38E1">
      <w:pPr>
        <w:pStyle w:val="ListParagraph"/>
        <w:numPr>
          <w:ilvl w:val="0"/>
          <w:numId w:val="17"/>
        </w:numPr>
        <w:autoSpaceDN w:val="0"/>
        <w:spacing w:before="120" w:after="120"/>
        <w:ind w:left="360"/>
        <w:contextualSpacing w:val="0"/>
        <w:rPr>
          <w:rFonts w:cs="Arial"/>
          <w:lang w:val="en-GB"/>
        </w:rPr>
      </w:pPr>
      <w:r w:rsidRPr="00180FF4">
        <w:rPr>
          <w:rFonts w:cs="Arial"/>
          <w:lang w:val="en-GB"/>
        </w:rPr>
        <w:t>Obtain and read correspondence from internal and external tax advisors with respect to significant tax matters, as made available to us.</w:t>
      </w:r>
    </w:p>
    <w:p w14:paraId="3CC34F03" w14:textId="77777777" w:rsidR="003E38E1" w:rsidRPr="00CC2DE2" w:rsidRDefault="003E38E1" w:rsidP="003E38E1">
      <w:pPr>
        <w:pStyle w:val="ListParagraph"/>
        <w:numPr>
          <w:ilvl w:val="0"/>
          <w:numId w:val="17"/>
        </w:numPr>
        <w:autoSpaceDN w:val="0"/>
        <w:spacing w:before="120" w:after="120"/>
        <w:ind w:left="360"/>
        <w:contextualSpacing w:val="0"/>
        <w:rPr>
          <w:rFonts w:cs="Arial"/>
          <w:lang w:val="en-GB"/>
        </w:rPr>
      </w:pPr>
      <w:r w:rsidRPr="00180FF4">
        <w:rPr>
          <w:rFonts w:cs="Arial"/>
          <w:lang w:val="en-GB"/>
        </w:rPr>
        <w:t xml:space="preserve">Read all pre-closing vendor-side reorganization or distribution plans including legal documents, steps memos, and compliance elements to the extent such pre-closing reorganizations impact Bird’s or Target’s exposure profile. </w:t>
      </w:r>
    </w:p>
    <w:p w14:paraId="2BBAF704" w14:textId="77777777" w:rsidR="003E38E1" w:rsidRPr="00CC2DE2" w:rsidRDefault="003E38E1" w:rsidP="003E38E1">
      <w:pPr>
        <w:pStyle w:val="ListParagraph"/>
        <w:spacing w:after="120"/>
        <w:ind w:left="0"/>
        <w:rPr>
          <w:rFonts w:cs="Arial"/>
        </w:rPr>
      </w:pPr>
      <w:r w:rsidRPr="00180FF4">
        <w:rPr>
          <w:rFonts w:cs="Arial"/>
          <w:b/>
          <w:bCs/>
        </w:rPr>
        <w:t xml:space="preserve">Corporation </w:t>
      </w:r>
      <w:r>
        <w:rPr>
          <w:rFonts w:cs="Arial"/>
          <w:b/>
          <w:bCs/>
        </w:rPr>
        <w:t>I</w:t>
      </w:r>
      <w:r w:rsidRPr="00180FF4">
        <w:rPr>
          <w:rFonts w:cs="Arial"/>
          <w:b/>
          <w:bCs/>
        </w:rPr>
        <w:t xml:space="preserve">ncome </w:t>
      </w:r>
      <w:r>
        <w:rPr>
          <w:rFonts w:cs="Arial"/>
          <w:b/>
          <w:bCs/>
        </w:rPr>
        <w:t>T</w:t>
      </w:r>
      <w:r w:rsidRPr="00180FF4">
        <w:rPr>
          <w:rFonts w:cs="Arial"/>
          <w:b/>
          <w:bCs/>
        </w:rPr>
        <w:t xml:space="preserve">ax and </w:t>
      </w:r>
      <w:r>
        <w:rPr>
          <w:rFonts w:cs="Arial"/>
          <w:b/>
          <w:bCs/>
        </w:rPr>
        <w:t>W</w:t>
      </w:r>
      <w:r w:rsidRPr="00180FF4">
        <w:rPr>
          <w:rFonts w:cs="Arial"/>
          <w:b/>
          <w:bCs/>
        </w:rPr>
        <w:t xml:space="preserve">ithholding </w:t>
      </w:r>
      <w:r>
        <w:rPr>
          <w:rFonts w:cs="Arial"/>
          <w:b/>
          <w:bCs/>
        </w:rPr>
        <w:t>T</w:t>
      </w:r>
      <w:r w:rsidRPr="00180FF4">
        <w:rPr>
          <w:rFonts w:cs="Arial"/>
          <w:b/>
          <w:bCs/>
        </w:rPr>
        <w:t>axes</w:t>
      </w:r>
    </w:p>
    <w:p w14:paraId="3EA30E86" w14:textId="77777777" w:rsidR="003E38E1" w:rsidRPr="00180FF4" w:rsidRDefault="003E38E1" w:rsidP="003E38E1">
      <w:pPr>
        <w:pStyle w:val="ListParagraph"/>
        <w:numPr>
          <w:ilvl w:val="0"/>
          <w:numId w:val="17"/>
        </w:numPr>
        <w:overflowPunct w:val="0"/>
        <w:autoSpaceDE w:val="0"/>
        <w:autoSpaceDN w:val="0"/>
        <w:spacing w:before="120" w:after="120"/>
        <w:ind w:left="360"/>
        <w:contextualSpacing w:val="0"/>
        <w:textAlignment w:val="baseline"/>
        <w:rPr>
          <w:rFonts w:cs="Arial"/>
        </w:rPr>
      </w:pPr>
      <w:r w:rsidRPr="00180FF4">
        <w:rPr>
          <w:rFonts w:cs="Arial"/>
        </w:rPr>
        <w:t>Inquire with Target management and/or their tax advisors about Target’s income tax compliance status, including internal procedures related to income tax compliance, and use of external tax preparers and advisors.</w:t>
      </w:r>
    </w:p>
    <w:p w14:paraId="1070FBC1" w14:textId="77777777" w:rsidR="003E38E1" w:rsidRPr="00180FF4" w:rsidRDefault="003E38E1" w:rsidP="003E38E1">
      <w:pPr>
        <w:spacing w:before="120" w:after="120"/>
        <w:textAlignment w:val="baseline"/>
        <w:rPr>
          <w:rFonts w:cs="Arial"/>
          <w:sz w:val="20"/>
        </w:rPr>
      </w:pPr>
    </w:p>
    <w:p w14:paraId="5976E31E" w14:textId="77777777" w:rsidR="003E38E1" w:rsidRPr="00CC2DE2" w:rsidRDefault="003E38E1" w:rsidP="003E38E1">
      <w:pPr>
        <w:pStyle w:val="ListParagraph"/>
        <w:numPr>
          <w:ilvl w:val="0"/>
          <w:numId w:val="17"/>
        </w:numPr>
        <w:overflowPunct w:val="0"/>
        <w:autoSpaceDE w:val="0"/>
        <w:autoSpaceDN w:val="0"/>
        <w:spacing w:before="120" w:after="120"/>
        <w:ind w:left="360"/>
        <w:contextualSpacing w:val="0"/>
        <w:textAlignment w:val="baseline"/>
        <w:rPr>
          <w:rFonts w:cs="Arial"/>
        </w:rPr>
      </w:pPr>
      <w:r w:rsidRPr="00180FF4">
        <w:rPr>
          <w:rFonts w:cs="Arial"/>
        </w:rPr>
        <w:t>Obtain and read Canadian corporate tax returns for the period under investigation, filed by Target including legal entity financial statements, supporting work papers, notices of assessment, statement of account and other relevant information, as made available to us.</w:t>
      </w:r>
    </w:p>
    <w:p w14:paraId="40F3E518" w14:textId="77777777" w:rsidR="003E38E1" w:rsidRPr="00CC2DE2" w:rsidRDefault="003E38E1" w:rsidP="003E38E1">
      <w:pPr>
        <w:pStyle w:val="ListParagraph"/>
        <w:numPr>
          <w:ilvl w:val="0"/>
          <w:numId w:val="17"/>
        </w:numPr>
        <w:overflowPunct w:val="0"/>
        <w:autoSpaceDE w:val="0"/>
        <w:autoSpaceDN w:val="0"/>
        <w:spacing w:before="120" w:after="120"/>
        <w:ind w:left="360"/>
        <w:contextualSpacing w:val="0"/>
        <w:textAlignment w:val="baseline"/>
        <w:rPr>
          <w:rFonts w:cs="Arial"/>
        </w:rPr>
      </w:pPr>
      <w:r w:rsidRPr="00180FF4">
        <w:rPr>
          <w:rFonts w:cs="Arial"/>
        </w:rPr>
        <w:t>Obtain and read copies of tax due diligence reports for the acquisitions completed in the period under investigation.</w:t>
      </w:r>
    </w:p>
    <w:p w14:paraId="67A89279" w14:textId="77777777" w:rsidR="003E38E1" w:rsidRPr="00CC2DE2" w:rsidRDefault="003E38E1" w:rsidP="003E38E1">
      <w:pPr>
        <w:pStyle w:val="ListParagraph"/>
        <w:numPr>
          <w:ilvl w:val="0"/>
          <w:numId w:val="17"/>
        </w:numPr>
        <w:overflowPunct w:val="0"/>
        <w:autoSpaceDE w:val="0"/>
        <w:autoSpaceDN w:val="0"/>
        <w:spacing w:before="120" w:after="120"/>
        <w:ind w:left="360"/>
        <w:contextualSpacing w:val="0"/>
        <w:textAlignment w:val="baseline"/>
        <w:rPr>
          <w:rFonts w:cs="Arial"/>
        </w:rPr>
      </w:pPr>
      <w:r w:rsidRPr="00180FF4">
        <w:rPr>
          <w:rFonts w:cs="Arial"/>
        </w:rPr>
        <w:lastRenderedPageBreak/>
        <w:t>Obtain and read schedules of tax basis of significant assets of Target and unused loss carry overs by jurisdiction (if any), including date of expiration and applicable restrictions on use. Inquire with Management and/or their tax advisors about existing restrictions on utilization of significant tax losses and other tax attributes.</w:t>
      </w:r>
    </w:p>
    <w:p w14:paraId="4908141B" w14:textId="77777777" w:rsidR="003E38E1" w:rsidRPr="00CC2DE2" w:rsidRDefault="003E38E1" w:rsidP="003E38E1">
      <w:pPr>
        <w:pStyle w:val="ListParagraph"/>
        <w:numPr>
          <w:ilvl w:val="0"/>
          <w:numId w:val="17"/>
        </w:numPr>
        <w:overflowPunct w:val="0"/>
        <w:autoSpaceDE w:val="0"/>
        <w:autoSpaceDN w:val="0"/>
        <w:spacing w:before="120" w:after="120"/>
        <w:ind w:left="360"/>
        <w:contextualSpacing w:val="0"/>
        <w:textAlignment w:val="baseline"/>
        <w:rPr>
          <w:rFonts w:cs="Arial"/>
        </w:rPr>
      </w:pPr>
      <w:r w:rsidRPr="00180FF4">
        <w:rPr>
          <w:rFonts w:cs="Arial"/>
        </w:rPr>
        <w:t>Consider implications of an acquisition of control of Target on the availability of unused losses, and tax basis of significant assets</w:t>
      </w:r>
      <w:r>
        <w:rPr>
          <w:rFonts w:cs="Arial"/>
        </w:rPr>
        <w:t>.</w:t>
      </w:r>
    </w:p>
    <w:p w14:paraId="55F83C14" w14:textId="77777777" w:rsidR="003E38E1" w:rsidRPr="00CC2DE2" w:rsidRDefault="003E38E1" w:rsidP="003E38E1">
      <w:pPr>
        <w:pStyle w:val="ListParagraph"/>
        <w:numPr>
          <w:ilvl w:val="0"/>
          <w:numId w:val="17"/>
        </w:numPr>
        <w:autoSpaceDN w:val="0"/>
        <w:spacing w:before="120" w:after="120"/>
        <w:ind w:left="360"/>
        <w:contextualSpacing w:val="0"/>
        <w:rPr>
          <w:rFonts w:cs="Arial"/>
        </w:rPr>
      </w:pPr>
      <w:r w:rsidRPr="00180FF4">
        <w:rPr>
          <w:rFonts w:cs="Arial"/>
        </w:rPr>
        <w:t>Inquire with Target management and/or their tax advisors about domestic transfer pricing methodologies and supporting contemporaneous documentation.</w:t>
      </w:r>
    </w:p>
    <w:p w14:paraId="2F25B72A" w14:textId="77777777" w:rsidR="003E38E1" w:rsidRPr="00CC2DE2" w:rsidRDefault="003E38E1" w:rsidP="003E38E1">
      <w:pPr>
        <w:pStyle w:val="ListParagraph"/>
        <w:numPr>
          <w:ilvl w:val="0"/>
          <w:numId w:val="17"/>
        </w:numPr>
        <w:autoSpaceDN w:val="0"/>
        <w:spacing w:before="120" w:after="120"/>
        <w:ind w:left="360"/>
        <w:contextualSpacing w:val="0"/>
        <w:rPr>
          <w:rFonts w:cs="Arial"/>
        </w:rPr>
      </w:pPr>
      <w:r w:rsidRPr="00180FF4">
        <w:rPr>
          <w:rFonts w:cs="Arial"/>
        </w:rPr>
        <w:t xml:space="preserve">Obtain and read any documents pertaining to intercompany asset charges, rent charges, management fees, as applicable. </w:t>
      </w:r>
    </w:p>
    <w:p w14:paraId="54F08F50" w14:textId="77777777" w:rsidR="003E38E1" w:rsidRPr="00CC2DE2" w:rsidRDefault="003E38E1" w:rsidP="003E38E1">
      <w:pPr>
        <w:pStyle w:val="ListParagraph"/>
        <w:numPr>
          <w:ilvl w:val="0"/>
          <w:numId w:val="17"/>
        </w:numPr>
        <w:autoSpaceDN w:val="0"/>
        <w:spacing w:before="120" w:after="120"/>
        <w:ind w:left="360"/>
        <w:contextualSpacing w:val="0"/>
        <w:rPr>
          <w:rFonts w:cs="Arial"/>
        </w:rPr>
      </w:pPr>
      <w:r w:rsidRPr="00180FF4">
        <w:rPr>
          <w:rFonts w:cs="Arial"/>
        </w:rPr>
        <w:t>Obtain and read documentation pertaining to the Excessive Interest and Financing Expenses Limitation (</w:t>
      </w:r>
      <w:r>
        <w:rPr>
          <w:rFonts w:cs="Arial"/>
        </w:rPr>
        <w:t>“</w:t>
      </w:r>
      <w:r w:rsidRPr="00180FF4">
        <w:rPr>
          <w:rFonts w:cs="Arial"/>
        </w:rPr>
        <w:t>EIFEL</w:t>
      </w:r>
      <w:r>
        <w:rPr>
          <w:rFonts w:cs="Arial"/>
        </w:rPr>
        <w:t>”</w:t>
      </w:r>
      <w:r w:rsidRPr="00180FF4">
        <w:rPr>
          <w:rFonts w:cs="Arial"/>
        </w:rPr>
        <w:t xml:space="preserve">) analysis undertaken by Target, if any. </w:t>
      </w:r>
    </w:p>
    <w:p w14:paraId="2BB6CDB9" w14:textId="77777777" w:rsidR="003E38E1" w:rsidRPr="00CC2DE2" w:rsidRDefault="003E38E1" w:rsidP="003E38E1">
      <w:pPr>
        <w:spacing w:before="120" w:after="120"/>
        <w:rPr>
          <w:rFonts w:cs="Arial"/>
          <w:b/>
          <w:bCs/>
          <w:sz w:val="20"/>
        </w:rPr>
      </w:pPr>
      <w:r>
        <w:rPr>
          <w:rFonts w:cs="Arial"/>
          <w:b/>
          <w:bCs/>
          <w:sz w:val="20"/>
        </w:rPr>
        <w:t>Indirect Tax</w:t>
      </w:r>
    </w:p>
    <w:p w14:paraId="1EFF0DFF" w14:textId="77777777" w:rsidR="003E38E1" w:rsidRPr="00CC2DE2" w:rsidRDefault="003E38E1" w:rsidP="003E38E1">
      <w:pPr>
        <w:pStyle w:val="ListParagraph"/>
        <w:numPr>
          <w:ilvl w:val="0"/>
          <w:numId w:val="17"/>
        </w:numPr>
        <w:autoSpaceDN w:val="0"/>
        <w:spacing w:before="120" w:after="120"/>
        <w:ind w:left="360"/>
        <w:contextualSpacing w:val="0"/>
        <w:rPr>
          <w:rFonts w:cs="Arial"/>
        </w:rPr>
      </w:pPr>
      <w:r w:rsidRPr="00180FF4">
        <w:rPr>
          <w:rFonts w:cs="Arial"/>
        </w:rPr>
        <w:t>Inquire with Target management and/or their tax advisors about:</w:t>
      </w:r>
    </w:p>
    <w:p w14:paraId="39C8B6AB" w14:textId="77777777" w:rsidR="003E38E1" w:rsidRPr="00180FF4" w:rsidRDefault="003E38E1" w:rsidP="003E38E1">
      <w:pPr>
        <w:pStyle w:val="ListBullet2"/>
        <w:numPr>
          <w:ilvl w:val="0"/>
          <w:numId w:val="19"/>
        </w:numPr>
        <w:rPr>
          <w:rFonts w:cs="Arial"/>
          <w:sz w:val="20"/>
        </w:rPr>
      </w:pPr>
      <w:r w:rsidRPr="00180FF4">
        <w:rPr>
          <w:rFonts w:cs="Arial"/>
          <w:sz w:val="20"/>
        </w:rPr>
        <w:t xml:space="preserve">Target’s indirect tax compliance status, including internal procedures related to indirect tax compliance; </w:t>
      </w:r>
    </w:p>
    <w:p w14:paraId="64149F73" w14:textId="77777777" w:rsidR="003E38E1" w:rsidRPr="00180FF4" w:rsidRDefault="003E38E1" w:rsidP="003E38E1">
      <w:pPr>
        <w:pStyle w:val="ListBullet2"/>
        <w:numPr>
          <w:ilvl w:val="0"/>
          <w:numId w:val="19"/>
        </w:numPr>
        <w:rPr>
          <w:rFonts w:cs="Arial"/>
          <w:sz w:val="20"/>
        </w:rPr>
      </w:pPr>
      <w:r w:rsidRPr="00180FF4">
        <w:rPr>
          <w:rFonts w:cs="Arial"/>
          <w:sz w:val="20"/>
        </w:rPr>
        <w:t xml:space="preserve">Indirect tax status of Target’s revenue, e.g. taxable/non-taxable and exempt supplies; </w:t>
      </w:r>
    </w:p>
    <w:p w14:paraId="0635FD1C" w14:textId="77777777" w:rsidR="003E38E1" w:rsidRPr="00180FF4" w:rsidRDefault="003E38E1" w:rsidP="003E38E1">
      <w:pPr>
        <w:pStyle w:val="ListBullet2"/>
        <w:numPr>
          <w:ilvl w:val="0"/>
          <w:numId w:val="19"/>
        </w:numPr>
        <w:rPr>
          <w:rFonts w:cs="Arial"/>
          <w:sz w:val="20"/>
        </w:rPr>
      </w:pPr>
      <w:r w:rsidRPr="00180FF4">
        <w:rPr>
          <w:rFonts w:cs="Arial"/>
          <w:sz w:val="20"/>
        </w:rPr>
        <w:t>Target’s PST self-assessment procedures, including whether PST has been self-assessed on any purchases/imports in the period under investigation; and</w:t>
      </w:r>
    </w:p>
    <w:p w14:paraId="603BD816" w14:textId="77777777" w:rsidR="003E38E1" w:rsidRPr="00180FF4" w:rsidRDefault="003E38E1" w:rsidP="003E38E1">
      <w:pPr>
        <w:pStyle w:val="ListBullet2"/>
        <w:numPr>
          <w:ilvl w:val="0"/>
          <w:numId w:val="19"/>
        </w:numPr>
        <w:rPr>
          <w:rFonts w:cs="Arial"/>
          <w:sz w:val="20"/>
        </w:rPr>
      </w:pPr>
      <w:r w:rsidRPr="00180FF4">
        <w:rPr>
          <w:rFonts w:cs="Arial"/>
          <w:sz w:val="20"/>
        </w:rPr>
        <w:t>Restrictions on recovery of input tax credits.</w:t>
      </w:r>
    </w:p>
    <w:p w14:paraId="72DDB7AE" w14:textId="77777777" w:rsidR="003E38E1" w:rsidRPr="00180FF4" w:rsidRDefault="003E38E1" w:rsidP="003E38E1">
      <w:pPr>
        <w:pStyle w:val="ListParagraph"/>
        <w:numPr>
          <w:ilvl w:val="0"/>
          <w:numId w:val="17"/>
        </w:numPr>
        <w:autoSpaceDN w:val="0"/>
        <w:spacing w:before="120" w:after="120"/>
        <w:ind w:left="360"/>
        <w:contextualSpacing w:val="0"/>
        <w:rPr>
          <w:rFonts w:cs="Arial"/>
        </w:rPr>
      </w:pPr>
      <w:r w:rsidRPr="00180FF4">
        <w:rPr>
          <w:rFonts w:cs="Arial"/>
        </w:rPr>
        <w:t>Obtain and read all GST/HST/QST/PST returns and remittances for the period under investigation and supporting working papers.</w:t>
      </w:r>
    </w:p>
    <w:p w14:paraId="3EDC796F" w14:textId="77777777" w:rsidR="003E38E1" w:rsidRPr="00180FF4" w:rsidRDefault="003E38E1" w:rsidP="003E38E1">
      <w:pPr>
        <w:spacing w:before="120" w:after="120"/>
        <w:rPr>
          <w:rFonts w:cs="Arial"/>
          <w:b/>
          <w:bCs/>
          <w:sz w:val="20"/>
        </w:rPr>
      </w:pPr>
      <w:r w:rsidRPr="00180FF4">
        <w:rPr>
          <w:rFonts w:cs="Arial"/>
          <w:b/>
          <w:bCs/>
          <w:sz w:val="20"/>
        </w:rPr>
        <w:t xml:space="preserve">Employment </w:t>
      </w:r>
      <w:r>
        <w:rPr>
          <w:rFonts w:cs="Arial"/>
          <w:b/>
          <w:bCs/>
          <w:sz w:val="20"/>
        </w:rPr>
        <w:t>T</w:t>
      </w:r>
      <w:r w:rsidRPr="00180FF4">
        <w:rPr>
          <w:rFonts w:cs="Arial"/>
          <w:b/>
          <w:bCs/>
          <w:sz w:val="20"/>
        </w:rPr>
        <w:t>axes and CEWS</w:t>
      </w:r>
    </w:p>
    <w:p w14:paraId="2B2B6E78" w14:textId="77777777" w:rsidR="003E38E1" w:rsidRPr="00180FF4" w:rsidRDefault="003E38E1" w:rsidP="003E38E1">
      <w:pPr>
        <w:pStyle w:val="ListParagraph"/>
        <w:numPr>
          <w:ilvl w:val="0"/>
          <w:numId w:val="17"/>
        </w:numPr>
        <w:autoSpaceDN w:val="0"/>
        <w:spacing w:before="120" w:after="120"/>
        <w:ind w:left="360"/>
        <w:contextualSpacing w:val="0"/>
        <w:rPr>
          <w:rFonts w:cs="Arial"/>
        </w:rPr>
      </w:pPr>
      <w:r w:rsidRPr="00180FF4">
        <w:rPr>
          <w:rFonts w:cs="Arial"/>
        </w:rPr>
        <w:t>Inquire with Target management and/or their tax advisors about the following for the period under investigation:</w:t>
      </w:r>
    </w:p>
    <w:p w14:paraId="3C39AE96" w14:textId="77777777" w:rsidR="003E38E1" w:rsidRPr="00180FF4" w:rsidRDefault="003E38E1" w:rsidP="003E38E1">
      <w:pPr>
        <w:pStyle w:val="ListBullet2"/>
        <w:numPr>
          <w:ilvl w:val="0"/>
          <w:numId w:val="24"/>
        </w:numPr>
        <w:rPr>
          <w:rFonts w:cs="Arial"/>
          <w:sz w:val="20"/>
        </w:rPr>
      </w:pPr>
      <w:r w:rsidRPr="00180FF4">
        <w:rPr>
          <w:rFonts w:cs="Arial"/>
          <w:sz w:val="20"/>
        </w:rPr>
        <w:t>Target’s payroll tax compliance status, including internal procedures related to payroll tax compliance;</w:t>
      </w:r>
    </w:p>
    <w:p w14:paraId="0BEB84CA" w14:textId="77777777" w:rsidR="003E38E1" w:rsidRPr="00180FF4" w:rsidRDefault="003E38E1" w:rsidP="003E38E1">
      <w:pPr>
        <w:pStyle w:val="ListBullet2"/>
        <w:numPr>
          <w:ilvl w:val="0"/>
          <w:numId w:val="24"/>
        </w:numPr>
        <w:rPr>
          <w:rFonts w:cs="Arial"/>
          <w:sz w:val="20"/>
        </w:rPr>
      </w:pPr>
      <w:r w:rsidRPr="00180FF4">
        <w:rPr>
          <w:rFonts w:cs="Arial"/>
          <w:sz w:val="20"/>
        </w:rPr>
        <w:t>Nature and extent of cross-border travel of employees and related tax compliance procedures;</w:t>
      </w:r>
    </w:p>
    <w:p w14:paraId="6551FA1E" w14:textId="77777777" w:rsidR="003E38E1" w:rsidRPr="00180FF4" w:rsidRDefault="003E38E1" w:rsidP="003E38E1">
      <w:pPr>
        <w:pStyle w:val="ListBullet2"/>
        <w:numPr>
          <w:ilvl w:val="0"/>
          <w:numId w:val="24"/>
        </w:numPr>
        <w:rPr>
          <w:rFonts w:cs="Arial"/>
          <w:sz w:val="20"/>
        </w:rPr>
      </w:pPr>
      <w:r w:rsidRPr="00180FF4">
        <w:rPr>
          <w:rFonts w:cs="Arial"/>
          <w:sz w:val="20"/>
        </w:rPr>
        <w:t>Compliance history for Canadian payroll tax;</w:t>
      </w:r>
    </w:p>
    <w:p w14:paraId="14F54EB5" w14:textId="77777777" w:rsidR="003E38E1" w:rsidRPr="00180FF4" w:rsidRDefault="003E38E1" w:rsidP="003E38E1">
      <w:pPr>
        <w:pStyle w:val="ListBullet2"/>
        <w:numPr>
          <w:ilvl w:val="0"/>
          <w:numId w:val="24"/>
        </w:numPr>
        <w:rPr>
          <w:rFonts w:cs="Arial"/>
          <w:sz w:val="20"/>
        </w:rPr>
      </w:pPr>
      <w:r w:rsidRPr="00180FF4">
        <w:rPr>
          <w:rFonts w:cs="Arial"/>
          <w:sz w:val="20"/>
        </w:rPr>
        <w:t xml:space="preserve">Payments to key employees that are contingent on closing of the transaction; </w:t>
      </w:r>
    </w:p>
    <w:p w14:paraId="21D92842" w14:textId="77777777" w:rsidR="003E38E1" w:rsidRPr="00180FF4" w:rsidRDefault="003E38E1" w:rsidP="003E38E1">
      <w:pPr>
        <w:pStyle w:val="ListBullet2"/>
        <w:numPr>
          <w:ilvl w:val="0"/>
          <w:numId w:val="24"/>
        </w:numPr>
        <w:rPr>
          <w:rFonts w:cs="Arial"/>
          <w:sz w:val="20"/>
        </w:rPr>
      </w:pPr>
      <w:r w:rsidRPr="00180FF4">
        <w:rPr>
          <w:rFonts w:cs="Arial"/>
          <w:sz w:val="20"/>
        </w:rPr>
        <w:t>Details of employee incentive and profit-sharing plans and related payroll tax compliance; and</w:t>
      </w:r>
    </w:p>
    <w:p w14:paraId="22EA2FCA" w14:textId="77777777" w:rsidR="003E38E1" w:rsidRPr="00180FF4" w:rsidRDefault="003E38E1" w:rsidP="003E38E1">
      <w:pPr>
        <w:pStyle w:val="ListBullet2"/>
        <w:numPr>
          <w:ilvl w:val="0"/>
          <w:numId w:val="24"/>
        </w:numPr>
        <w:rPr>
          <w:rFonts w:cs="Arial"/>
          <w:sz w:val="20"/>
        </w:rPr>
      </w:pPr>
      <w:r w:rsidRPr="00180FF4">
        <w:rPr>
          <w:rFonts w:cs="Arial"/>
          <w:sz w:val="20"/>
        </w:rPr>
        <w:t>The nature and extent of use of individual independent contractors.</w:t>
      </w:r>
    </w:p>
    <w:p w14:paraId="0D381A9F" w14:textId="77777777" w:rsidR="003E38E1" w:rsidRPr="00180FF4" w:rsidRDefault="003E38E1" w:rsidP="003E38E1">
      <w:pPr>
        <w:pStyle w:val="ListParagraph"/>
        <w:numPr>
          <w:ilvl w:val="0"/>
          <w:numId w:val="17"/>
        </w:numPr>
        <w:autoSpaceDN w:val="0"/>
        <w:spacing w:before="120" w:after="120"/>
        <w:ind w:left="360"/>
        <w:contextualSpacing w:val="0"/>
        <w:rPr>
          <w:rFonts w:cs="Arial"/>
        </w:rPr>
      </w:pPr>
      <w:r w:rsidRPr="00180FF4">
        <w:rPr>
          <w:rFonts w:cs="Arial"/>
        </w:rPr>
        <w:t xml:space="preserve">Obtain and read the summary of CEWS applications filed by Target and supporting documentation and make relevant inquiries in connection with procedures to determine eligibility and accuracy of calculations. </w:t>
      </w:r>
    </w:p>
    <w:p w14:paraId="3C620F1E" w14:textId="77777777" w:rsidR="003E38E1" w:rsidRPr="00180FF4" w:rsidRDefault="003E38E1" w:rsidP="003E38E1">
      <w:pPr>
        <w:spacing w:before="120" w:after="120"/>
        <w:jc w:val="both"/>
        <w:rPr>
          <w:rFonts w:cs="Arial"/>
          <w:sz w:val="20"/>
          <w:highlight w:val="yellow"/>
        </w:rPr>
      </w:pPr>
    </w:p>
    <w:p w14:paraId="5DFE7352" w14:textId="77777777" w:rsidR="005B23FA" w:rsidRPr="00D83F67" w:rsidRDefault="005B23FA" w:rsidP="005B23FA">
      <w:pPr>
        <w:pStyle w:val="Bullet2"/>
        <w:tabs>
          <w:tab w:val="left" w:pos="450"/>
        </w:tabs>
        <w:overflowPunct/>
        <w:autoSpaceDE/>
        <w:spacing w:line="240" w:lineRule="auto"/>
        <w:ind w:left="0" w:firstLine="0"/>
        <w:rPr>
          <w:rFonts w:ascii="Arial" w:hAnsi="Arial" w:cs="Arial"/>
          <w:sz w:val="20"/>
        </w:rPr>
      </w:pPr>
      <w:r w:rsidRPr="00D83F67">
        <w:rPr>
          <w:rFonts w:ascii="Arial" w:hAnsi="Arial" w:cs="Arial"/>
          <w:sz w:val="20"/>
        </w:rPr>
        <w:t>--------------------------------------------------------------------------------------------------------------------------------------------</w:t>
      </w:r>
    </w:p>
    <w:p w14:paraId="18EAC512" w14:textId="4D9511F4" w:rsidR="003E38E1" w:rsidRPr="00180FF4" w:rsidRDefault="008A4DA7" w:rsidP="003E38E1">
      <w:pPr>
        <w:spacing w:before="120" w:after="120"/>
        <w:rPr>
          <w:rFonts w:cs="Arial"/>
          <w:b/>
          <w:bCs/>
          <w:i/>
          <w:iCs/>
          <w:sz w:val="20"/>
          <w:u w:val="single"/>
        </w:rPr>
      </w:pPr>
      <w:r>
        <w:rPr>
          <w:rFonts w:cs="Arial"/>
          <w:b/>
          <w:bCs/>
          <w:i/>
          <w:iCs/>
          <w:sz w:val="20"/>
          <w:u w:val="single"/>
        </w:rPr>
        <w:t>s</w:t>
      </w:r>
    </w:p>
    <w:p w14:paraId="01970ED9" w14:textId="77777777" w:rsidR="003E38E1" w:rsidRPr="00CC2DE2" w:rsidRDefault="003E38E1" w:rsidP="003E38E1">
      <w:pPr>
        <w:pStyle w:val="BodyText"/>
        <w:rPr>
          <w:rFonts w:cs="Arial"/>
          <w:b/>
          <w:bCs/>
          <w:i/>
          <w:iCs/>
          <w:sz w:val="20"/>
          <w:u w:val="single"/>
        </w:rPr>
      </w:pPr>
      <w:r w:rsidRPr="00180FF4">
        <w:rPr>
          <w:rFonts w:cs="Arial"/>
          <w:b/>
          <w:bCs/>
          <w:i/>
          <w:iCs/>
          <w:sz w:val="20"/>
          <w:u w:val="single"/>
        </w:rPr>
        <w:t>Tax Advisory Services (Optional)</w:t>
      </w:r>
    </w:p>
    <w:p w14:paraId="1B213D00" w14:textId="77777777" w:rsidR="003E38E1" w:rsidRPr="00180FF4" w:rsidRDefault="003E38E1" w:rsidP="003E38E1">
      <w:pPr>
        <w:pStyle w:val="BodyText"/>
        <w:rPr>
          <w:rFonts w:cs="Arial"/>
          <w:sz w:val="20"/>
        </w:rPr>
      </w:pPr>
      <w:r w:rsidRPr="00180FF4">
        <w:rPr>
          <w:rFonts w:cs="Arial"/>
          <w:sz w:val="20"/>
        </w:rPr>
        <w:lastRenderedPageBreak/>
        <w:t xml:space="preserve">Where requested by Client, we may also provide tax modeling and tax structuring assistance.  Such work is outside scope of the tax due diligence and subject to additional professional fees and is based on the actual time incurred at our agreed hourly rates.  </w:t>
      </w:r>
    </w:p>
    <w:p w14:paraId="652DFC3F" w14:textId="77777777" w:rsidR="003E38E1" w:rsidRDefault="003E38E1" w:rsidP="003E38E1">
      <w:pPr>
        <w:pStyle w:val="BodyText"/>
        <w:rPr>
          <w:rFonts w:cs="Arial"/>
          <w:sz w:val="20"/>
        </w:rPr>
      </w:pPr>
      <w:r w:rsidRPr="00180FF4">
        <w:rPr>
          <w:rFonts w:cs="Arial"/>
          <w:sz w:val="20"/>
        </w:rPr>
        <w:t xml:space="preserve">The following list represents the most common structuring procedures encountered in transactions of this type.  </w:t>
      </w:r>
    </w:p>
    <w:p w14:paraId="3032DAA9" w14:textId="77777777" w:rsidR="003E38E1" w:rsidRPr="00180FF4" w:rsidRDefault="003E38E1" w:rsidP="003E38E1">
      <w:pPr>
        <w:pStyle w:val="BodyText"/>
        <w:rPr>
          <w:rFonts w:cs="Arial"/>
          <w:sz w:val="20"/>
        </w:rPr>
      </w:pPr>
      <w:r w:rsidRPr="00180FF4">
        <w:rPr>
          <w:rFonts w:cs="Arial"/>
          <w:sz w:val="20"/>
        </w:rPr>
        <w:t>At your request, we will assist with one or more of the following</w:t>
      </w:r>
      <w:r>
        <w:rPr>
          <w:rFonts w:cs="Arial"/>
          <w:sz w:val="20"/>
        </w:rPr>
        <w:t>:</w:t>
      </w:r>
    </w:p>
    <w:p w14:paraId="29FB586B" w14:textId="77777777" w:rsidR="003E38E1" w:rsidRPr="00CC2DE2" w:rsidRDefault="003E38E1" w:rsidP="003E38E1">
      <w:pPr>
        <w:pStyle w:val="ListParagraph"/>
        <w:numPr>
          <w:ilvl w:val="0"/>
          <w:numId w:val="20"/>
        </w:numPr>
        <w:autoSpaceDE w:val="0"/>
        <w:autoSpaceDN w:val="0"/>
        <w:spacing w:before="120" w:after="120"/>
        <w:contextualSpacing w:val="0"/>
        <w:rPr>
          <w:rFonts w:cs="Arial"/>
        </w:rPr>
      </w:pPr>
      <w:r w:rsidRPr="00180FF4">
        <w:rPr>
          <w:rFonts w:cs="Arial"/>
        </w:rPr>
        <w:t xml:space="preserve">Assistance with tax input to the proposed acquisition structure, and commentary on acquiring, holding and exiting from the investment in a tax effective manner, including acquisition of control rules and associated implications to tax attributes. </w:t>
      </w:r>
    </w:p>
    <w:p w14:paraId="2A7BBE3D" w14:textId="77777777" w:rsidR="003E38E1" w:rsidRPr="00CC2DE2" w:rsidRDefault="003E38E1" w:rsidP="003E38E1">
      <w:pPr>
        <w:pStyle w:val="ListParagraph"/>
        <w:numPr>
          <w:ilvl w:val="0"/>
          <w:numId w:val="20"/>
        </w:numPr>
        <w:autoSpaceDE w:val="0"/>
        <w:autoSpaceDN w:val="0"/>
        <w:spacing w:before="120" w:after="120"/>
        <w:contextualSpacing w:val="0"/>
        <w:rPr>
          <w:rFonts w:cs="Arial"/>
        </w:rPr>
      </w:pPr>
      <w:r w:rsidRPr="00180FF4">
        <w:rPr>
          <w:rFonts w:cs="Arial"/>
        </w:rPr>
        <w:t>Read initial draft of the Purchase Agreement and offer commentary to Client and its legal counsel concerning sections relating to Canadian tax matters based on the results of the due diligence assistance we provide.</w:t>
      </w:r>
    </w:p>
    <w:p w14:paraId="683DFAEE" w14:textId="77777777" w:rsidR="003E38E1" w:rsidRPr="00180FF4" w:rsidRDefault="003E38E1" w:rsidP="003E38E1">
      <w:pPr>
        <w:pStyle w:val="ListParagraph"/>
        <w:numPr>
          <w:ilvl w:val="0"/>
          <w:numId w:val="20"/>
        </w:numPr>
        <w:autoSpaceDN w:val="0"/>
        <w:spacing w:before="120" w:after="120"/>
        <w:contextualSpacing w:val="0"/>
        <w:rPr>
          <w:rFonts w:cs="Arial"/>
        </w:rPr>
      </w:pPr>
      <w:r w:rsidRPr="00180FF4">
        <w:rPr>
          <w:rFonts w:cs="Arial"/>
        </w:rPr>
        <w:t>Provide advice, consultations, calculations, or other services with respect to:</w:t>
      </w:r>
    </w:p>
    <w:p w14:paraId="2CD07552" w14:textId="77777777" w:rsidR="003E38E1" w:rsidRPr="00180FF4"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180FF4">
        <w:rPr>
          <w:rFonts w:ascii="Arial" w:hAnsi="Arial" w:cs="Arial"/>
          <w:sz w:val="20"/>
        </w:rPr>
        <w:t>Pre-closing tax structuring, if any;</w:t>
      </w:r>
    </w:p>
    <w:p w14:paraId="5431A41A" w14:textId="77777777" w:rsidR="003E38E1" w:rsidRPr="00180FF4"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180FF4">
        <w:rPr>
          <w:rFonts w:ascii="Arial" w:hAnsi="Arial" w:cs="Arial"/>
          <w:sz w:val="20"/>
        </w:rPr>
        <w:t xml:space="preserve">Tax deductibility of transaction costs, unamortized deferred finance fees, etc.; </w:t>
      </w:r>
    </w:p>
    <w:p w14:paraId="0F716712" w14:textId="77777777" w:rsidR="003E38E1" w:rsidRPr="00180FF4"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180FF4">
        <w:rPr>
          <w:rFonts w:ascii="Arial" w:hAnsi="Arial" w:cs="Arial"/>
          <w:sz w:val="20"/>
        </w:rPr>
        <w:t>Tax deductibility of intercompany management fees or other charges, if any;</w:t>
      </w:r>
    </w:p>
    <w:p w14:paraId="0C8BC70E" w14:textId="77777777" w:rsidR="003E38E1" w:rsidRPr="00180FF4"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180FF4">
        <w:rPr>
          <w:rFonts w:ascii="Arial" w:hAnsi="Arial" w:cs="Arial"/>
          <w:sz w:val="20"/>
        </w:rPr>
        <w:t>Tax deductibility of interest expense on debt;</w:t>
      </w:r>
    </w:p>
    <w:p w14:paraId="69600953" w14:textId="77777777" w:rsidR="003E38E1" w:rsidRPr="00180FF4"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180FF4">
        <w:rPr>
          <w:rFonts w:ascii="Arial" w:hAnsi="Arial" w:cs="Arial"/>
          <w:sz w:val="20"/>
        </w:rPr>
        <w:t>The income and withholding tax consequences of pushing down related or unrelated debt for tax purposes;</w:t>
      </w:r>
    </w:p>
    <w:p w14:paraId="2452998F" w14:textId="77777777" w:rsidR="003E38E1" w:rsidRPr="00180FF4"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180FF4">
        <w:rPr>
          <w:rFonts w:ascii="Arial" w:hAnsi="Arial" w:cs="Arial"/>
          <w:sz w:val="20"/>
        </w:rPr>
        <w:t xml:space="preserve">Assisting with post-closing transaction compliance and tax integration matters; and, </w:t>
      </w:r>
    </w:p>
    <w:p w14:paraId="0FD9C5B7" w14:textId="77777777" w:rsidR="003E38E1"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0E6380">
        <w:rPr>
          <w:rFonts w:ascii="Arial" w:hAnsi="Arial" w:cs="Arial"/>
          <w:sz w:val="20"/>
        </w:rPr>
        <w:t>Pre- and post-transaction work with employee incentive plans, if any.</w:t>
      </w:r>
    </w:p>
    <w:p w14:paraId="3082AAE3" w14:textId="77777777" w:rsidR="003E38E1"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0E6380">
        <w:rPr>
          <w:rFonts w:ascii="Arial" w:hAnsi="Arial" w:cs="Arial"/>
          <w:sz w:val="20"/>
        </w:rPr>
        <w:t xml:space="preserve">Prepare a high-level strawman and relevant tax considerations with respect to the chosen structure and relevant tax implications, if required.  </w:t>
      </w:r>
    </w:p>
    <w:p w14:paraId="1FE2A327" w14:textId="77777777" w:rsidR="003E38E1" w:rsidRPr="00CC2DE2" w:rsidRDefault="003E38E1" w:rsidP="003E38E1">
      <w:pPr>
        <w:pStyle w:val="Bullet2"/>
        <w:numPr>
          <w:ilvl w:val="2"/>
          <w:numId w:val="21"/>
        </w:numPr>
        <w:tabs>
          <w:tab w:val="clear" w:pos="720"/>
        </w:tabs>
        <w:suppressAutoHyphens w:val="0"/>
        <w:overflowPunct/>
        <w:autoSpaceDE/>
        <w:adjustRightInd/>
        <w:spacing w:before="120" w:line="240" w:lineRule="auto"/>
        <w:ind w:left="720"/>
        <w:textAlignment w:val="auto"/>
        <w:rPr>
          <w:rFonts w:ascii="Arial" w:hAnsi="Arial" w:cs="Arial"/>
          <w:sz w:val="20"/>
        </w:rPr>
      </w:pPr>
      <w:r w:rsidRPr="000E6380">
        <w:rPr>
          <w:rFonts w:ascii="Arial" w:hAnsi="Arial" w:cs="Arial"/>
          <w:sz w:val="20"/>
        </w:rPr>
        <w:t>Any other related tax advice or assistance with respect to the tax consequences of the proposed transaction or activities post-acquisition.</w:t>
      </w:r>
    </w:p>
    <w:p w14:paraId="5B8C8E27" w14:textId="5499DD18" w:rsidR="00C7162D" w:rsidRDefault="003E38E1" w:rsidP="003E38E1">
      <w:r w:rsidRPr="00180FF4">
        <w:rPr>
          <w:rFonts w:cs="Arial"/>
          <w:sz w:val="20"/>
        </w:rPr>
        <w:t>Any other related tax advice or assistance with respect to the tax consequences of the proposed transaction or activities post-acquisition.</w:t>
      </w:r>
    </w:p>
    <w:sectPr w:rsidR="00C71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1" w15:restartNumberingAfterBreak="0">
    <w:nsid w:val="0FE041BF"/>
    <w:multiLevelType w:val="hybridMultilevel"/>
    <w:tmpl w:val="B906C0CC"/>
    <w:lvl w:ilvl="0" w:tplc="FFFFFFFF">
      <w:start w:val="1"/>
      <w:numFmt w:val="lowerLetter"/>
      <w:lvlText w:val="%1)"/>
      <w:lvlJc w:val="left"/>
      <w:pPr>
        <w:ind w:left="1080" w:hanging="360"/>
      </w:pPr>
      <w:rPr>
        <w:rFonts w:hint="default"/>
      </w:r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510096"/>
    <w:multiLevelType w:val="multilevel"/>
    <w:tmpl w:val="9C586610"/>
    <w:lvl w:ilvl="0">
      <w:start w:val="1"/>
      <w:numFmt w:val="lowerLetter"/>
      <w:lvlText w:val="%1)"/>
      <w:lvlJc w:val="left"/>
      <w:pPr>
        <w:ind w:left="1440" w:hanging="360"/>
      </w:pPr>
      <w:rPr>
        <w:rFonts w:hint="default"/>
        <w:color w:val="auto"/>
        <w:sz w:val="20"/>
        <w:szCs w:val="2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153A79D6"/>
    <w:multiLevelType w:val="hybridMultilevel"/>
    <w:tmpl w:val="FFD2AA2C"/>
    <w:lvl w:ilvl="0" w:tplc="04090017">
      <w:start w:val="1"/>
      <w:numFmt w:val="lowerLetter"/>
      <w:lvlText w:val="%1)"/>
      <w:lvlJc w:val="left"/>
      <w:pPr>
        <w:ind w:left="144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93141C"/>
    <w:multiLevelType w:val="hybridMultilevel"/>
    <w:tmpl w:val="B1F0F218"/>
    <w:lvl w:ilvl="0" w:tplc="0409001B">
      <w:start w:val="1"/>
      <w:numFmt w:val="lowerRoman"/>
      <w:lvlText w:val="%1."/>
      <w:lvlJc w:val="right"/>
      <w:pPr>
        <w:tabs>
          <w:tab w:val="num" w:pos="720"/>
        </w:tabs>
        <w:ind w:left="720" w:hanging="720"/>
      </w:pPr>
      <w:rPr>
        <w:rFonts w:hint="default"/>
        <w:b/>
        <w:i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CDA1023"/>
    <w:multiLevelType w:val="hybridMultilevel"/>
    <w:tmpl w:val="B3601202"/>
    <w:lvl w:ilvl="0" w:tplc="029EB7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D823483"/>
    <w:multiLevelType w:val="multilevel"/>
    <w:tmpl w:val="97ECD018"/>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7" w15:restartNumberingAfterBreak="0">
    <w:nsid w:val="257417F9"/>
    <w:multiLevelType w:val="hybridMultilevel"/>
    <w:tmpl w:val="9E9AE76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371859"/>
    <w:multiLevelType w:val="hybridMultilevel"/>
    <w:tmpl w:val="3B42B02A"/>
    <w:lvl w:ilvl="0" w:tplc="C08408AA">
      <w:start w:val="1"/>
      <w:numFmt w:val="decimal"/>
      <w:pStyle w:val="ListBullet"/>
      <w:lvlText w:val="%1."/>
      <w:lvlJc w:val="left"/>
      <w:pPr>
        <w:tabs>
          <w:tab w:val="num" w:pos="720"/>
        </w:tabs>
        <w:ind w:left="720" w:hanging="360"/>
      </w:pPr>
      <w:rPr>
        <w:b/>
        <w:bCs w:val="0"/>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C0039E7"/>
    <w:multiLevelType w:val="hybridMultilevel"/>
    <w:tmpl w:val="F92C8E14"/>
    <w:lvl w:ilvl="0" w:tplc="3670B996">
      <w:start w:val="1"/>
      <w:numFmt w:val="decimal"/>
      <w:lvlText w:val="%1."/>
      <w:lvlJc w:val="left"/>
      <w:pPr>
        <w:ind w:left="720" w:hanging="36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384C89"/>
    <w:multiLevelType w:val="multilevel"/>
    <w:tmpl w:val="F582392A"/>
    <w:lvl w:ilvl="0">
      <w:start w:val="1"/>
      <w:numFmt w:val="lowerLetter"/>
      <w:lvlText w:val="%1)"/>
      <w:lvlJc w:val="left"/>
      <w:pPr>
        <w:tabs>
          <w:tab w:val="num" w:pos="700"/>
        </w:tabs>
        <w:ind w:left="700" w:hanging="340"/>
      </w:pPr>
      <w:rPr>
        <w:rFonts w:ascii="Times New Roman" w:hAnsi="Times New Roman" w:hint="default"/>
        <w:b w:val="0"/>
        <w:i w:val="0"/>
        <w:sz w:val="22"/>
      </w:rPr>
    </w:lvl>
    <w:lvl w:ilvl="1">
      <w:start w:val="1"/>
      <w:numFmt w:val="bullet"/>
      <w:lvlText w:val=""/>
      <w:lvlJc w:val="left"/>
      <w:pPr>
        <w:tabs>
          <w:tab w:val="num" w:pos="1040"/>
        </w:tabs>
        <w:ind w:left="1040" w:hanging="340"/>
      </w:pPr>
      <w:rPr>
        <w:rFonts w:ascii="Symbol" w:hAnsi="Symbol" w:hint="default"/>
        <w:sz w:val="22"/>
      </w:rPr>
    </w:lvl>
    <w:lvl w:ilvl="2">
      <w:start w:val="1"/>
      <w:numFmt w:val="lowerLetter"/>
      <w:lvlText w:val="%3)"/>
      <w:lvlJc w:val="left"/>
      <w:pPr>
        <w:tabs>
          <w:tab w:val="num" w:pos="1510"/>
        </w:tabs>
        <w:ind w:left="1510" w:hanging="340"/>
      </w:pPr>
      <w:rPr>
        <w:rFonts w:hint="default"/>
      </w:rPr>
    </w:lvl>
    <w:lvl w:ilvl="3">
      <w:start w:val="1"/>
      <w:numFmt w:val="bullet"/>
      <w:lvlText w:val=""/>
      <w:lvlJc w:val="left"/>
      <w:pPr>
        <w:tabs>
          <w:tab w:val="num" w:pos="1721"/>
        </w:tabs>
        <w:ind w:left="1721" w:hanging="341"/>
      </w:pPr>
      <w:rPr>
        <w:rFonts w:ascii="Symbol" w:hAnsi="Symbol" w:hint="default"/>
        <w:sz w:val="22"/>
      </w:rPr>
    </w:lvl>
    <w:lvl w:ilvl="4">
      <w:start w:val="1"/>
      <w:numFmt w:val="bullet"/>
      <w:lvlText w:val="-"/>
      <w:lvlJc w:val="left"/>
      <w:pPr>
        <w:tabs>
          <w:tab w:val="num" w:pos="2061"/>
        </w:tabs>
        <w:ind w:left="2061" w:hanging="340"/>
      </w:pPr>
      <w:rPr>
        <w:rFonts w:ascii="9999999" w:hAnsi="9999999" w:hint="default"/>
      </w:rPr>
    </w:lvl>
    <w:lvl w:ilvl="5">
      <w:start w:val="1"/>
      <w:numFmt w:val="bullet"/>
      <w:lvlText w:val=""/>
      <w:lvlJc w:val="left"/>
      <w:pPr>
        <w:tabs>
          <w:tab w:val="num" w:pos="2401"/>
        </w:tabs>
        <w:ind w:left="2401" w:hanging="340"/>
      </w:pPr>
      <w:rPr>
        <w:rFonts w:ascii="Wingdings" w:hAnsi="Wingdings" w:hint="default"/>
      </w:rPr>
    </w:lvl>
    <w:lvl w:ilvl="6">
      <w:start w:val="1"/>
      <w:numFmt w:val="bullet"/>
      <w:lvlText w:val=""/>
      <w:lvlJc w:val="left"/>
      <w:pPr>
        <w:tabs>
          <w:tab w:val="num" w:pos="2741"/>
        </w:tabs>
        <w:ind w:left="2741" w:hanging="340"/>
      </w:pPr>
      <w:rPr>
        <w:rFonts w:ascii="Wingdings" w:hAnsi="Wingdings" w:hint="default"/>
      </w:rPr>
    </w:lvl>
    <w:lvl w:ilvl="7">
      <w:start w:val="1"/>
      <w:numFmt w:val="bullet"/>
      <w:lvlText w:val=""/>
      <w:lvlJc w:val="left"/>
      <w:pPr>
        <w:tabs>
          <w:tab w:val="num" w:pos="3081"/>
        </w:tabs>
        <w:ind w:left="3081" w:hanging="340"/>
      </w:pPr>
      <w:rPr>
        <w:rFonts w:ascii="Symbol" w:hAnsi="Symbol" w:hint="default"/>
      </w:rPr>
    </w:lvl>
    <w:lvl w:ilvl="8">
      <w:start w:val="1"/>
      <w:numFmt w:val="bullet"/>
      <w:lvlText w:val=""/>
      <w:lvlJc w:val="left"/>
      <w:pPr>
        <w:tabs>
          <w:tab w:val="num" w:pos="3421"/>
        </w:tabs>
        <w:ind w:left="3421" w:hanging="340"/>
      </w:pPr>
      <w:rPr>
        <w:rFonts w:ascii="Symbol" w:hAnsi="Symbol" w:hint="default"/>
      </w:rPr>
    </w:lvl>
  </w:abstractNum>
  <w:abstractNum w:abstractNumId="11" w15:restartNumberingAfterBreak="0">
    <w:nsid w:val="4F984A01"/>
    <w:multiLevelType w:val="hybridMultilevel"/>
    <w:tmpl w:val="BACA4C32"/>
    <w:lvl w:ilvl="0" w:tplc="9E5801D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5376129"/>
    <w:multiLevelType w:val="hybridMultilevel"/>
    <w:tmpl w:val="5FC0AEA2"/>
    <w:lvl w:ilvl="0" w:tplc="B2B08C68">
      <w:start w:val="1"/>
      <w:numFmt w:val="decimal"/>
      <w:lvlText w:val="%1."/>
      <w:lvlJc w:val="left"/>
      <w:pPr>
        <w:tabs>
          <w:tab w:val="num" w:pos="720"/>
        </w:tabs>
        <w:ind w:left="720" w:hanging="720"/>
      </w:pPr>
      <w:rPr>
        <w:b/>
        <w:i w:val="0"/>
      </w:rPr>
    </w:lvl>
    <w:lvl w:ilvl="1" w:tplc="EFF42414">
      <w:start w:val="1"/>
      <w:numFmt w:val="lowerLetter"/>
      <w:lvlText w:val="%2."/>
      <w:lvlJc w:val="left"/>
      <w:pPr>
        <w:ind w:left="1080" w:hanging="360"/>
      </w:pPr>
      <w:rPr>
        <w:b w:val="0"/>
        <w:bCs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5A4C60D5"/>
    <w:multiLevelType w:val="hybridMultilevel"/>
    <w:tmpl w:val="22C8C7CE"/>
    <w:lvl w:ilvl="0" w:tplc="87F2E0AC">
      <w:start w:val="1"/>
      <w:numFmt w:val="lowerLetter"/>
      <w:lvlText w:val="%1)"/>
      <w:lvlJc w:val="left"/>
      <w:pPr>
        <w:tabs>
          <w:tab w:val="num" w:pos="720"/>
        </w:tabs>
        <w:ind w:left="720" w:hanging="360"/>
      </w:pPr>
    </w:lvl>
    <w:lvl w:ilvl="1" w:tplc="0409001B">
      <w:start w:val="1"/>
      <w:numFmt w:val="lowerRoman"/>
      <w:lvlText w:val="%2."/>
      <w:lvlJc w:val="righ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4" w15:restartNumberingAfterBreak="0">
    <w:nsid w:val="64A300D0"/>
    <w:multiLevelType w:val="hybridMultilevel"/>
    <w:tmpl w:val="2E0247A8"/>
    <w:lvl w:ilvl="0" w:tplc="C6240B10">
      <w:start w:val="1"/>
      <w:numFmt w:val="lowerLetter"/>
      <w:lvlText w:val="%1)"/>
      <w:lvlJc w:val="left"/>
      <w:pPr>
        <w:ind w:left="1080" w:hanging="360"/>
      </w:pPr>
      <w:rPr>
        <w:rFonts w:hint="default"/>
      </w:rPr>
    </w:lvl>
    <w:lvl w:ilvl="1" w:tplc="521C57D0">
      <w:start w:val="1"/>
      <w:numFmt w:val="lowerRoman"/>
      <w:lvlText w:val="%2."/>
      <w:lvlJc w:val="right"/>
      <w:pPr>
        <w:ind w:left="1800" w:hanging="360"/>
      </w:pPr>
      <w:rPr>
        <w:b w:val="0"/>
        <w:b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58F684C"/>
    <w:multiLevelType w:val="multilevel"/>
    <w:tmpl w:val="78084E4C"/>
    <w:lvl w:ilvl="0">
      <w:start w:val="1"/>
      <w:numFmt w:val="lowerLetter"/>
      <w:lvlText w:val="%1)"/>
      <w:lvlJc w:val="left"/>
      <w:pPr>
        <w:tabs>
          <w:tab w:val="num" w:pos="700"/>
        </w:tabs>
        <w:ind w:left="700" w:hanging="340"/>
      </w:pPr>
      <w:rPr>
        <w:rFonts w:ascii="Arial" w:eastAsiaTheme="minorHAnsi" w:hAnsi="Arial" w:cs="Arial"/>
        <w:b w:val="0"/>
        <w:i w:val="0"/>
        <w:sz w:val="20"/>
        <w:szCs w:val="20"/>
      </w:rPr>
    </w:lvl>
    <w:lvl w:ilvl="1">
      <w:start w:val="1"/>
      <w:numFmt w:val="bullet"/>
      <w:lvlText w:val=""/>
      <w:lvlJc w:val="left"/>
      <w:pPr>
        <w:tabs>
          <w:tab w:val="num" w:pos="1040"/>
        </w:tabs>
        <w:ind w:left="1040" w:hanging="340"/>
      </w:pPr>
      <w:rPr>
        <w:rFonts w:ascii="Symbol" w:hAnsi="Symbol" w:hint="default"/>
        <w:sz w:val="22"/>
      </w:rPr>
    </w:lvl>
    <w:lvl w:ilvl="2">
      <w:start w:val="1"/>
      <w:numFmt w:val="bullet"/>
      <w:lvlText w:val="-"/>
      <w:lvlJc w:val="left"/>
      <w:pPr>
        <w:tabs>
          <w:tab w:val="num" w:pos="1380"/>
        </w:tabs>
        <w:ind w:left="1380" w:hanging="340"/>
      </w:pPr>
      <w:rPr>
        <w:rFonts w:ascii="9999999" w:hAnsi="9999999" w:hint="default"/>
      </w:rPr>
    </w:lvl>
    <w:lvl w:ilvl="3">
      <w:start w:val="1"/>
      <w:numFmt w:val="bullet"/>
      <w:lvlText w:val=""/>
      <w:lvlJc w:val="left"/>
      <w:pPr>
        <w:tabs>
          <w:tab w:val="num" w:pos="1721"/>
        </w:tabs>
        <w:ind w:left="1721" w:hanging="341"/>
      </w:pPr>
      <w:rPr>
        <w:rFonts w:ascii="Symbol" w:hAnsi="Symbol" w:hint="default"/>
        <w:sz w:val="22"/>
      </w:rPr>
    </w:lvl>
    <w:lvl w:ilvl="4">
      <w:start w:val="1"/>
      <w:numFmt w:val="bullet"/>
      <w:lvlText w:val="-"/>
      <w:lvlJc w:val="left"/>
      <w:pPr>
        <w:tabs>
          <w:tab w:val="num" w:pos="2061"/>
        </w:tabs>
        <w:ind w:left="2061" w:hanging="340"/>
      </w:pPr>
      <w:rPr>
        <w:rFonts w:ascii="9999999" w:hAnsi="9999999" w:hint="default"/>
      </w:rPr>
    </w:lvl>
    <w:lvl w:ilvl="5">
      <w:start w:val="1"/>
      <w:numFmt w:val="bullet"/>
      <w:lvlText w:val=""/>
      <w:lvlJc w:val="left"/>
      <w:pPr>
        <w:tabs>
          <w:tab w:val="num" w:pos="2401"/>
        </w:tabs>
        <w:ind w:left="2401" w:hanging="340"/>
      </w:pPr>
      <w:rPr>
        <w:rFonts w:ascii="Wingdings" w:hAnsi="Wingdings" w:hint="default"/>
      </w:rPr>
    </w:lvl>
    <w:lvl w:ilvl="6">
      <w:start w:val="1"/>
      <w:numFmt w:val="bullet"/>
      <w:lvlText w:val=""/>
      <w:lvlJc w:val="left"/>
      <w:pPr>
        <w:tabs>
          <w:tab w:val="num" w:pos="2741"/>
        </w:tabs>
        <w:ind w:left="2741" w:hanging="340"/>
      </w:pPr>
      <w:rPr>
        <w:rFonts w:ascii="Wingdings" w:hAnsi="Wingdings" w:hint="default"/>
      </w:rPr>
    </w:lvl>
    <w:lvl w:ilvl="7">
      <w:start w:val="1"/>
      <w:numFmt w:val="bullet"/>
      <w:lvlText w:val=""/>
      <w:lvlJc w:val="left"/>
      <w:pPr>
        <w:tabs>
          <w:tab w:val="num" w:pos="3081"/>
        </w:tabs>
        <w:ind w:left="3081" w:hanging="340"/>
      </w:pPr>
      <w:rPr>
        <w:rFonts w:ascii="Symbol" w:hAnsi="Symbol" w:hint="default"/>
      </w:rPr>
    </w:lvl>
    <w:lvl w:ilvl="8">
      <w:start w:val="1"/>
      <w:numFmt w:val="bullet"/>
      <w:lvlText w:val=""/>
      <w:lvlJc w:val="left"/>
      <w:pPr>
        <w:tabs>
          <w:tab w:val="num" w:pos="3421"/>
        </w:tabs>
        <w:ind w:left="3421" w:hanging="340"/>
      </w:pPr>
      <w:rPr>
        <w:rFonts w:ascii="Symbol" w:hAnsi="Symbol" w:hint="default"/>
      </w:rPr>
    </w:lvl>
  </w:abstractNum>
  <w:abstractNum w:abstractNumId="16" w15:restartNumberingAfterBreak="0">
    <w:nsid w:val="6AD12C04"/>
    <w:multiLevelType w:val="hybridMultilevel"/>
    <w:tmpl w:val="AC4C6F8A"/>
    <w:lvl w:ilvl="0" w:tplc="481E3976">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D06543D"/>
    <w:multiLevelType w:val="multilevel"/>
    <w:tmpl w:val="09D47652"/>
    <w:lvl w:ilvl="0">
      <w:start w:val="1"/>
      <w:numFmt w:val="lowerLetter"/>
      <w:lvlText w:val="%1)"/>
      <w:lvlJc w:val="left"/>
      <w:pPr>
        <w:tabs>
          <w:tab w:val="num" w:pos="700"/>
        </w:tabs>
        <w:ind w:left="700" w:hanging="340"/>
      </w:pPr>
      <w:rPr>
        <w:rFonts w:ascii="Arial" w:eastAsiaTheme="minorHAnsi" w:hAnsi="Arial" w:cs="Arial" w:hint="default"/>
        <w:b w:val="0"/>
        <w:i w:val="0"/>
        <w:sz w:val="20"/>
        <w:szCs w:val="20"/>
      </w:rPr>
    </w:lvl>
    <w:lvl w:ilvl="1">
      <w:start w:val="1"/>
      <w:numFmt w:val="bullet"/>
      <w:lvlText w:val=""/>
      <w:lvlJc w:val="left"/>
      <w:pPr>
        <w:tabs>
          <w:tab w:val="num" w:pos="1040"/>
        </w:tabs>
        <w:ind w:left="1040" w:hanging="340"/>
      </w:pPr>
      <w:rPr>
        <w:rFonts w:ascii="Symbol" w:hAnsi="Symbol" w:hint="default"/>
        <w:sz w:val="22"/>
      </w:rPr>
    </w:lvl>
    <w:lvl w:ilvl="2">
      <w:start w:val="1"/>
      <w:numFmt w:val="bullet"/>
      <w:lvlText w:val="-"/>
      <w:lvlJc w:val="left"/>
      <w:pPr>
        <w:tabs>
          <w:tab w:val="num" w:pos="1380"/>
        </w:tabs>
        <w:ind w:left="1380" w:hanging="340"/>
      </w:pPr>
      <w:rPr>
        <w:rFonts w:ascii="9999999" w:hAnsi="9999999" w:hint="default"/>
      </w:rPr>
    </w:lvl>
    <w:lvl w:ilvl="3">
      <w:start w:val="1"/>
      <w:numFmt w:val="bullet"/>
      <w:lvlText w:val=""/>
      <w:lvlJc w:val="left"/>
      <w:pPr>
        <w:tabs>
          <w:tab w:val="num" w:pos="1721"/>
        </w:tabs>
        <w:ind w:left="1721" w:hanging="341"/>
      </w:pPr>
      <w:rPr>
        <w:rFonts w:ascii="Symbol" w:hAnsi="Symbol" w:hint="default"/>
        <w:sz w:val="22"/>
      </w:rPr>
    </w:lvl>
    <w:lvl w:ilvl="4">
      <w:start w:val="1"/>
      <w:numFmt w:val="bullet"/>
      <w:lvlText w:val="-"/>
      <w:lvlJc w:val="left"/>
      <w:pPr>
        <w:tabs>
          <w:tab w:val="num" w:pos="2061"/>
        </w:tabs>
        <w:ind w:left="2061" w:hanging="340"/>
      </w:pPr>
      <w:rPr>
        <w:rFonts w:ascii="9999999" w:hAnsi="9999999" w:hint="default"/>
      </w:rPr>
    </w:lvl>
    <w:lvl w:ilvl="5">
      <w:start w:val="1"/>
      <w:numFmt w:val="bullet"/>
      <w:lvlText w:val=""/>
      <w:lvlJc w:val="left"/>
      <w:pPr>
        <w:tabs>
          <w:tab w:val="num" w:pos="2401"/>
        </w:tabs>
        <w:ind w:left="2401" w:hanging="340"/>
      </w:pPr>
      <w:rPr>
        <w:rFonts w:ascii="Wingdings" w:hAnsi="Wingdings" w:hint="default"/>
      </w:rPr>
    </w:lvl>
    <w:lvl w:ilvl="6">
      <w:start w:val="1"/>
      <w:numFmt w:val="bullet"/>
      <w:lvlText w:val=""/>
      <w:lvlJc w:val="left"/>
      <w:pPr>
        <w:tabs>
          <w:tab w:val="num" w:pos="2741"/>
        </w:tabs>
        <w:ind w:left="2741" w:hanging="340"/>
      </w:pPr>
      <w:rPr>
        <w:rFonts w:ascii="Wingdings" w:hAnsi="Wingdings" w:hint="default"/>
      </w:rPr>
    </w:lvl>
    <w:lvl w:ilvl="7">
      <w:start w:val="1"/>
      <w:numFmt w:val="bullet"/>
      <w:lvlText w:val=""/>
      <w:lvlJc w:val="left"/>
      <w:pPr>
        <w:tabs>
          <w:tab w:val="num" w:pos="3081"/>
        </w:tabs>
        <w:ind w:left="3081" w:hanging="340"/>
      </w:pPr>
      <w:rPr>
        <w:rFonts w:ascii="Symbol" w:hAnsi="Symbol" w:hint="default"/>
      </w:rPr>
    </w:lvl>
    <w:lvl w:ilvl="8">
      <w:start w:val="1"/>
      <w:numFmt w:val="bullet"/>
      <w:lvlText w:val=""/>
      <w:lvlJc w:val="left"/>
      <w:pPr>
        <w:tabs>
          <w:tab w:val="num" w:pos="3421"/>
        </w:tabs>
        <w:ind w:left="3421" w:hanging="340"/>
      </w:pPr>
      <w:rPr>
        <w:rFonts w:ascii="Symbol" w:hAnsi="Symbol" w:hint="default"/>
      </w:rPr>
    </w:lvl>
  </w:abstractNum>
  <w:abstractNum w:abstractNumId="18" w15:restartNumberingAfterBreak="0">
    <w:nsid w:val="70AC5400"/>
    <w:multiLevelType w:val="multilevel"/>
    <w:tmpl w:val="CEA6460E"/>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58"/>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0E13618"/>
    <w:multiLevelType w:val="multilevel"/>
    <w:tmpl w:val="CEA6460E"/>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58"/>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78786930"/>
    <w:multiLevelType w:val="multilevel"/>
    <w:tmpl w:val="6D84C34E"/>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7B221F9C"/>
    <w:multiLevelType w:val="hybridMultilevel"/>
    <w:tmpl w:val="AB70880C"/>
    <w:lvl w:ilvl="0" w:tplc="AA6C8890">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271199"/>
    <w:multiLevelType w:val="multilevel"/>
    <w:tmpl w:val="424E22D6"/>
    <w:lvl w:ilvl="0">
      <w:start w:val="1"/>
      <w:numFmt w:val="lowerLetter"/>
      <w:lvlText w:val="%1)"/>
      <w:lvlJc w:val="left"/>
      <w:pPr>
        <w:tabs>
          <w:tab w:val="num" w:pos="720"/>
        </w:tabs>
        <w:ind w:left="720" w:hanging="360"/>
      </w:pPr>
      <w:rPr>
        <w:rFonts w:ascii="Arial" w:hAnsi="Arial" w:cs="Arial" w:hint="default"/>
        <w:b w:val="0"/>
        <w:bCs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F19303C"/>
    <w:multiLevelType w:val="hybridMultilevel"/>
    <w:tmpl w:val="6D84C3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848568">
    <w:abstractNumId w:val="0"/>
  </w:num>
  <w:num w:numId="2" w16cid:durableId="12146621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0752366">
    <w:abstractNumId w:val="15"/>
    <w:lvlOverride w:ilvl="0">
      <w:startOverride w:val="1"/>
    </w:lvlOverride>
    <w:lvlOverride w:ilvl="1"/>
    <w:lvlOverride w:ilvl="2"/>
    <w:lvlOverride w:ilvl="3"/>
    <w:lvlOverride w:ilvl="4"/>
    <w:lvlOverride w:ilvl="5"/>
    <w:lvlOverride w:ilvl="6"/>
    <w:lvlOverride w:ilvl="7"/>
    <w:lvlOverride w:ilvl="8"/>
  </w:num>
  <w:num w:numId="4" w16cid:durableId="19067976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4474044">
    <w:abstractNumId w:val="14"/>
  </w:num>
  <w:num w:numId="6" w16cid:durableId="1475218968">
    <w:abstractNumId w:val="17"/>
  </w:num>
  <w:num w:numId="7" w16cid:durableId="2097239586">
    <w:abstractNumId w:val="3"/>
  </w:num>
  <w:num w:numId="8" w16cid:durableId="1859661220">
    <w:abstractNumId w:val="16"/>
  </w:num>
  <w:num w:numId="9" w16cid:durableId="561141167">
    <w:abstractNumId w:val="2"/>
  </w:num>
  <w:num w:numId="10" w16cid:durableId="12076200">
    <w:abstractNumId w:val="18"/>
  </w:num>
  <w:num w:numId="11" w16cid:durableId="1268273053">
    <w:abstractNumId w:val="22"/>
  </w:num>
  <w:num w:numId="12" w16cid:durableId="12824916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4271255">
    <w:abstractNumId w:val="19"/>
  </w:num>
  <w:num w:numId="14" w16cid:durableId="578052931">
    <w:abstractNumId w:val="4"/>
  </w:num>
  <w:num w:numId="15" w16cid:durableId="931166422">
    <w:abstractNumId w:val="21"/>
  </w:num>
  <w:num w:numId="16" w16cid:durableId="1855849834">
    <w:abstractNumId w:val="1"/>
  </w:num>
  <w:num w:numId="17" w16cid:durableId="11550298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03085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15946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06528558">
    <w:abstractNumId w:val="6"/>
    <w:lvlOverride w:ilvl="0">
      <w:startOverride w:val="1"/>
    </w:lvlOverride>
    <w:lvlOverride w:ilvl="1"/>
    <w:lvlOverride w:ilvl="2"/>
    <w:lvlOverride w:ilvl="3"/>
    <w:lvlOverride w:ilvl="4"/>
    <w:lvlOverride w:ilvl="5"/>
    <w:lvlOverride w:ilvl="6"/>
    <w:lvlOverride w:ilvl="7"/>
    <w:lvlOverride w:ilvl="8"/>
  </w:num>
  <w:num w:numId="21" w16cid:durableId="1284262288">
    <w:abstractNumId w:val="10"/>
    <w:lvlOverride w:ilvl="0">
      <w:startOverride w:val="1"/>
    </w:lvlOverride>
    <w:lvlOverride w:ilvl="1"/>
    <w:lvlOverride w:ilvl="2">
      <w:startOverride w:val="1"/>
    </w:lvlOverride>
    <w:lvlOverride w:ilvl="3"/>
    <w:lvlOverride w:ilvl="4"/>
    <w:lvlOverride w:ilvl="5"/>
    <w:lvlOverride w:ilvl="6"/>
    <w:lvlOverride w:ilvl="7"/>
    <w:lvlOverride w:ilvl="8"/>
  </w:num>
  <w:num w:numId="22" w16cid:durableId="13820240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4753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899271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E1"/>
    <w:rsid w:val="00152FCF"/>
    <w:rsid w:val="00250AC3"/>
    <w:rsid w:val="003E38E1"/>
    <w:rsid w:val="005B23FA"/>
    <w:rsid w:val="008573B1"/>
    <w:rsid w:val="008A4DA7"/>
    <w:rsid w:val="00917797"/>
    <w:rsid w:val="00AB3805"/>
    <w:rsid w:val="00B83825"/>
    <w:rsid w:val="00C7162D"/>
    <w:rsid w:val="00D45A69"/>
    <w:rsid w:val="00DB7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268D"/>
  <w15:chartTrackingRefBased/>
  <w15:docId w15:val="{2F4078E6-6487-4E24-9088-4C5AE35D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8E1"/>
    <w:pPr>
      <w:spacing w:after="0" w:line="240" w:lineRule="auto"/>
    </w:pPr>
    <w:rPr>
      <w:rFonts w:ascii="Arial" w:eastAsia="Times New Roman" w:hAnsi="Arial" w:cs="Times New Roman"/>
      <w:kern w:val="0"/>
      <w:szCs w:val="20"/>
      <w14:ligatures w14:val="none"/>
    </w:rPr>
  </w:style>
  <w:style w:type="paragraph" w:styleId="Heading1">
    <w:name w:val="heading 1"/>
    <w:basedOn w:val="Normal"/>
    <w:next w:val="Normal"/>
    <w:link w:val="Heading1Char"/>
    <w:uiPriority w:val="9"/>
    <w:qFormat/>
    <w:rsid w:val="003E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8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8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8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8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8E1"/>
    <w:rPr>
      <w:rFonts w:eastAsiaTheme="majorEastAsia" w:cstheme="majorBidi"/>
      <w:color w:val="272727" w:themeColor="text1" w:themeTint="D8"/>
    </w:rPr>
  </w:style>
  <w:style w:type="paragraph" w:styleId="Title">
    <w:name w:val="Title"/>
    <w:basedOn w:val="Normal"/>
    <w:next w:val="Normal"/>
    <w:link w:val="TitleChar"/>
    <w:uiPriority w:val="10"/>
    <w:qFormat/>
    <w:rsid w:val="003E38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8E1"/>
    <w:pPr>
      <w:spacing w:before="160"/>
      <w:jc w:val="center"/>
    </w:pPr>
    <w:rPr>
      <w:i/>
      <w:iCs/>
      <w:color w:val="404040" w:themeColor="text1" w:themeTint="BF"/>
    </w:rPr>
  </w:style>
  <w:style w:type="character" w:customStyle="1" w:styleId="QuoteChar">
    <w:name w:val="Quote Char"/>
    <w:basedOn w:val="DefaultParagraphFont"/>
    <w:link w:val="Quote"/>
    <w:uiPriority w:val="29"/>
    <w:rsid w:val="003E38E1"/>
    <w:rPr>
      <w:i/>
      <w:iCs/>
      <w:color w:val="404040" w:themeColor="text1" w:themeTint="BF"/>
    </w:rPr>
  </w:style>
  <w:style w:type="paragraph" w:styleId="ListParagraph">
    <w:name w:val="List Paragraph"/>
    <w:aliases w:val="Proposal List"/>
    <w:basedOn w:val="Normal"/>
    <w:link w:val="ListParagraphChar"/>
    <w:uiPriority w:val="34"/>
    <w:qFormat/>
    <w:rsid w:val="003E38E1"/>
    <w:pPr>
      <w:ind w:left="720"/>
      <w:contextualSpacing/>
    </w:pPr>
  </w:style>
  <w:style w:type="character" w:styleId="IntenseEmphasis">
    <w:name w:val="Intense Emphasis"/>
    <w:basedOn w:val="DefaultParagraphFont"/>
    <w:uiPriority w:val="21"/>
    <w:qFormat/>
    <w:rsid w:val="003E38E1"/>
    <w:rPr>
      <w:i/>
      <w:iCs/>
      <w:color w:val="0F4761" w:themeColor="accent1" w:themeShade="BF"/>
    </w:rPr>
  </w:style>
  <w:style w:type="paragraph" w:styleId="IntenseQuote">
    <w:name w:val="Intense Quote"/>
    <w:basedOn w:val="Normal"/>
    <w:next w:val="Normal"/>
    <w:link w:val="IntenseQuoteChar"/>
    <w:uiPriority w:val="30"/>
    <w:qFormat/>
    <w:rsid w:val="003E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8E1"/>
    <w:rPr>
      <w:i/>
      <w:iCs/>
      <w:color w:val="0F4761" w:themeColor="accent1" w:themeShade="BF"/>
    </w:rPr>
  </w:style>
  <w:style w:type="character" w:styleId="IntenseReference">
    <w:name w:val="Intense Reference"/>
    <w:basedOn w:val="DefaultParagraphFont"/>
    <w:uiPriority w:val="32"/>
    <w:qFormat/>
    <w:rsid w:val="003E38E1"/>
    <w:rPr>
      <w:b/>
      <w:bCs/>
      <w:smallCaps/>
      <w:color w:val="0F4761" w:themeColor="accent1" w:themeShade="BF"/>
      <w:spacing w:val="5"/>
    </w:rPr>
  </w:style>
  <w:style w:type="paragraph" w:styleId="BodyText">
    <w:name w:val="Body Text"/>
    <w:basedOn w:val="Normal"/>
    <w:link w:val="BodyTextChar"/>
    <w:qFormat/>
    <w:rsid w:val="003E38E1"/>
    <w:pPr>
      <w:spacing w:before="120" w:after="120"/>
    </w:pPr>
  </w:style>
  <w:style w:type="character" w:customStyle="1" w:styleId="BodyTextChar">
    <w:name w:val="Body Text Char"/>
    <w:basedOn w:val="DefaultParagraphFont"/>
    <w:link w:val="BodyText"/>
    <w:rsid w:val="003E38E1"/>
    <w:rPr>
      <w:rFonts w:ascii="Arial" w:eastAsia="Times New Roman" w:hAnsi="Arial" w:cs="Times New Roman"/>
      <w:kern w:val="0"/>
      <w:szCs w:val="20"/>
      <w14:ligatures w14:val="none"/>
    </w:rPr>
  </w:style>
  <w:style w:type="paragraph" w:styleId="ListBullet2">
    <w:name w:val="List Bullet 2"/>
    <w:basedOn w:val="ListBullet"/>
    <w:qFormat/>
    <w:rsid w:val="003E38E1"/>
    <w:pPr>
      <w:numPr>
        <w:numId w:val="1"/>
      </w:numPr>
      <w:spacing w:before="120" w:after="120"/>
      <w:contextualSpacing w:val="0"/>
    </w:pPr>
  </w:style>
  <w:style w:type="paragraph" w:customStyle="1" w:styleId="Bullet1">
    <w:name w:val="Bullet 1"/>
    <w:aliases w:val="b1,Bullet for no #'s"/>
    <w:basedOn w:val="Normal"/>
    <w:uiPriority w:val="99"/>
    <w:rsid w:val="003E38E1"/>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Bullet with #'s"/>
    <w:basedOn w:val="Normal"/>
    <w:rsid w:val="003E38E1"/>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character" w:customStyle="1" w:styleId="ListParagraphChar">
    <w:name w:val="List Paragraph Char"/>
    <w:aliases w:val="Proposal List Char"/>
    <w:basedOn w:val="DefaultParagraphFont"/>
    <w:link w:val="ListParagraph"/>
    <w:uiPriority w:val="34"/>
    <w:locked/>
    <w:rsid w:val="003E38E1"/>
  </w:style>
  <w:style w:type="paragraph" w:styleId="ListBullet">
    <w:name w:val="List Bullet"/>
    <w:basedOn w:val="Normal"/>
    <w:uiPriority w:val="99"/>
    <w:semiHidden/>
    <w:unhideWhenUsed/>
    <w:rsid w:val="003E38E1"/>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5B3824-9E1C-49EA-9EC2-D2B71379E20F}">
  <ds:schemaRefs>
    <ds:schemaRef ds:uri="http://schemas.openxmlformats.org/officeDocument/2006/bibliography"/>
  </ds:schemaRefs>
</ds:datastoreItem>
</file>

<file path=customXml/itemProps2.xml><?xml version="1.0" encoding="utf-8"?>
<ds:datastoreItem xmlns:ds="http://schemas.openxmlformats.org/officeDocument/2006/customXml" ds:itemID="{2E11DA03-DB7E-4C8D-A2EB-85392D14D8C9}"/>
</file>

<file path=customXml/itemProps3.xml><?xml version="1.0" encoding="utf-8"?>
<ds:datastoreItem xmlns:ds="http://schemas.openxmlformats.org/officeDocument/2006/customXml" ds:itemID="{CCCDC3A3-6DCC-4BB9-9438-CABF4372863C}"/>
</file>

<file path=customXml/itemProps4.xml><?xml version="1.0" encoding="utf-8"?>
<ds:datastoreItem xmlns:ds="http://schemas.openxmlformats.org/officeDocument/2006/customXml" ds:itemID="{3B8F9957-3B77-4ED6-87C7-9AC81DDD608D}"/>
</file>

<file path=docProps/app.xml><?xml version="1.0" encoding="utf-8"?>
<Properties xmlns="http://schemas.openxmlformats.org/officeDocument/2006/extended-properties" xmlns:vt="http://schemas.openxmlformats.org/officeDocument/2006/docPropsVTypes">
  <Template>Normal.dotm</Template>
  <TotalTime>10</TotalTime>
  <Pages>7</Pages>
  <Words>2602</Words>
  <Characters>14832</Characters>
  <Application>Microsoft Office Word</Application>
  <DocSecurity>0</DocSecurity>
  <Lines>123</Lines>
  <Paragraphs>34</Paragraphs>
  <ScaleCrop>false</ScaleCrop>
  <Company>KPMG</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Eddie</dc:creator>
  <cp:keywords/>
  <dc:description/>
  <cp:lastModifiedBy>Chan, Eddie</cp:lastModifiedBy>
  <cp:revision>4</cp:revision>
  <dcterms:created xsi:type="dcterms:W3CDTF">2025-04-10T18:43:00Z</dcterms:created>
  <dcterms:modified xsi:type="dcterms:W3CDTF">2025-08-20T21:26:00Z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0x010100B50ACECE49572E49B9E2B6EEF15646F3</vt:lpwstr>
  </property>
</Properties>
</file>