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F751C" w14:textId="5BA2FCC6" w:rsidR="000C1AEC" w:rsidRPr="009B5BBE" w:rsidRDefault="000C1AEC" w:rsidP="00C50BEA">
      <w:pPr>
        <w:pStyle w:val="LetterBody"/>
        <w:spacing w:after="0"/>
        <w:jc w:val="both"/>
        <w:rPr>
          <w:b/>
          <w:bCs/>
          <w:i/>
          <w:iCs/>
          <w:color w:val="000000"/>
          <w:u w:val="single"/>
        </w:rPr>
      </w:pPr>
      <w:r w:rsidRPr="009B5BBE">
        <w:rPr>
          <w:b/>
          <w:bCs/>
          <w:i/>
          <w:iCs/>
          <w:color w:val="000000"/>
          <w:u w:val="single"/>
        </w:rPr>
        <w:t>Transaction Services</w:t>
      </w:r>
    </w:p>
    <w:p w14:paraId="5BBCA966" w14:textId="086A5F75" w:rsidR="000C1AEC" w:rsidRPr="009B5BBE" w:rsidRDefault="000C1AEC" w:rsidP="00F438E2">
      <w:pPr>
        <w:tabs>
          <w:tab w:val="left" w:pos="477"/>
        </w:tabs>
        <w:overflowPunct w:val="0"/>
        <w:autoSpaceDE w:val="0"/>
        <w:autoSpaceDN w:val="0"/>
        <w:adjustRightInd w:val="0"/>
        <w:spacing w:before="130" w:after="130" w:line="260" w:lineRule="atLeast"/>
        <w:textAlignment w:val="baseline"/>
        <w:rPr>
          <w:rFonts w:ascii="Arial" w:eastAsia="Malgun Gothic" w:hAnsi="Arial" w:cs="Arial"/>
          <w:b/>
          <w:sz w:val="20"/>
          <w:szCs w:val="20"/>
          <w:u w:val="single"/>
          <w:lang w:eastAsia="ko-KR"/>
        </w:rPr>
      </w:pPr>
      <w:bookmarkStart w:id="0" w:name="_Hlk115185301"/>
      <w:r w:rsidRPr="009B5BBE">
        <w:rPr>
          <w:rFonts w:ascii="Arial" w:eastAsia="Malgun Gothic" w:hAnsi="Arial" w:cs="Arial"/>
          <w:b/>
          <w:sz w:val="20"/>
          <w:szCs w:val="20"/>
          <w:u w:val="single"/>
          <w:lang w:eastAsia="ko-KR"/>
        </w:rPr>
        <w:t>Financial Due Diligence</w:t>
      </w:r>
    </w:p>
    <w:p w14:paraId="31CC6B04" w14:textId="30935D95" w:rsidR="00665661" w:rsidRPr="00665661" w:rsidRDefault="000C1AEC" w:rsidP="000C1AEC">
      <w:pPr>
        <w:spacing w:before="120"/>
        <w:rPr>
          <w:rFonts w:ascii="Arial" w:hAnsi="Arial" w:cs="Arial"/>
          <w:b/>
          <w:bCs/>
          <w:i/>
          <w:iCs/>
          <w:spacing w:val="-1"/>
          <w:sz w:val="20"/>
          <w:szCs w:val="20"/>
          <w:lang w:val="en-CA"/>
        </w:rPr>
      </w:pPr>
      <w:r w:rsidRPr="009B5BBE">
        <w:rPr>
          <w:rFonts w:ascii="Arial" w:hAnsi="Arial" w:cs="Arial"/>
          <w:b/>
          <w:bCs/>
          <w:i/>
          <w:iCs/>
          <w:spacing w:val="-1"/>
          <w:sz w:val="20"/>
          <w:szCs w:val="20"/>
          <w:lang w:val="en-CA"/>
        </w:rPr>
        <w:t xml:space="preserve">Unless otherwise noted, our work will concentrate on financial information for the last </w:t>
      </w:r>
      <w:r w:rsidR="00C50BEA" w:rsidRPr="009B5BBE">
        <w:rPr>
          <w:rFonts w:ascii="Arial" w:hAnsi="Arial" w:cs="Arial"/>
          <w:b/>
          <w:bCs/>
          <w:i/>
          <w:iCs/>
          <w:spacing w:val="-1"/>
          <w:sz w:val="20"/>
          <w:szCs w:val="20"/>
          <w:lang w:val="en-CA"/>
        </w:rPr>
        <w:t>three</w:t>
      </w:r>
      <w:r w:rsidRPr="009B5BBE">
        <w:rPr>
          <w:rFonts w:ascii="Arial" w:hAnsi="Arial" w:cs="Arial"/>
          <w:b/>
          <w:bCs/>
          <w:i/>
          <w:iCs/>
          <w:spacing w:val="-1"/>
          <w:sz w:val="20"/>
          <w:szCs w:val="20"/>
          <w:lang w:val="en-CA"/>
        </w:rPr>
        <w:t xml:space="preserve"> fiscal years (</w:t>
      </w:r>
      <w:r w:rsidR="00C50BEA" w:rsidRPr="009B5BBE">
        <w:rPr>
          <w:rFonts w:ascii="Arial" w:hAnsi="Arial" w:cs="Arial"/>
          <w:b/>
          <w:bCs/>
          <w:i/>
          <w:iCs/>
          <w:spacing w:val="-1"/>
          <w:sz w:val="20"/>
          <w:szCs w:val="20"/>
          <w:lang w:val="en-CA"/>
        </w:rPr>
        <w:t xml:space="preserve">“FY19, </w:t>
      </w:r>
      <w:r w:rsidRPr="009B5BBE">
        <w:rPr>
          <w:rFonts w:ascii="Arial" w:hAnsi="Arial" w:cs="Arial"/>
          <w:b/>
          <w:bCs/>
          <w:i/>
          <w:iCs/>
          <w:spacing w:val="-1"/>
          <w:sz w:val="20"/>
          <w:szCs w:val="20"/>
          <w:lang w:val="en-CA"/>
        </w:rPr>
        <w:t xml:space="preserve">“FY20”and “FY21”) and the most recent trailing </w:t>
      </w:r>
      <w:proofErr w:type="gramStart"/>
      <w:r w:rsidRPr="009B5BBE">
        <w:rPr>
          <w:rFonts w:ascii="Arial" w:hAnsi="Arial" w:cs="Arial"/>
          <w:b/>
          <w:bCs/>
          <w:i/>
          <w:iCs/>
          <w:spacing w:val="-1"/>
          <w:sz w:val="20"/>
          <w:szCs w:val="20"/>
          <w:lang w:val="en-CA"/>
        </w:rPr>
        <w:t>twelve month</w:t>
      </w:r>
      <w:proofErr w:type="gramEnd"/>
      <w:r w:rsidRPr="009B5BBE">
        <w:rPr>
          <w:rFonts w:ascii="Arial" w:hAnsi="Arial" w:cs="Arial"/>
          <w:b/>
          <w:bCs/>
          <w:i/>
          <w:iCs/>
          <w:spacing w:val="-1"/>
          <w:sz w:val="20"/>
          <w:szCs w:val="20"/>
          <w:lang w:val="en-CA"/>
        </w:rPr>
        <w:t xml:space="preserve"> period endi</w:t>
      </w:r>
      <w:r w:rsidR="00C50BEA" w:rsidRPr="009B5BBE">
        <w:rPr>
          <w:rFonts w:ascii="Arial" w:hAnsi="Arial" w:cs="Arial"/>
          <w:b/>
          <w:bCs/>
          <w:i/>
          <w:iCs/>
          <w:spacing w:val="-1"/>
          <w:sz w:val="20"/>
          <w:szCs w:val="20"/>
          <w:lang w:val="en-CA"/>
        </w:rPr>
        <w:t>ng September</w:t>
      </w:r>
      <w:r w:rsidRPr="009B5BBE">
        <w:rPr>
          <w:rFonts w:ascii="Arial" w:hAnsi="Arial" w:cs="Arial"/>
          <w:b/>
          <w:bCs/>
          <w:i/>
          <w:iCs/>
          <w:spacing w:val="-1"/>
          <w:sz w:val="20"/>
          <w:szCs w:val="20"/>
          <w:lang w:val="en-CA"/>
        </w:rPr>
        <w:t xml:space="preserve"> 2022.  </w:t>
      </w:r>
    </w:p>
    <w:p w14:paraId="59D97762" w14:textId="2CA3DE66" w:rsidR="0008326D" w:rsidRPr="000A3E0E" w:rsidRDefault="0008326D" w:rsidP="000C1AEC">
      <w:pPr>
        <w:spacing w:before="120"/>
        <w:rPr>
          <w:rFonts w:ascii="Arial" w:hAnsi="Arial" w:cs="Arial"/>
          <w:spacing w:val="-1"/>
          <w:sz w:val="20"/>
          <w:szCs w:val="20"/>
          <w:lang w:val="en-CA"/>
        </w:rPr>
      </w:pPr>
      <w:r>
        <w:rPr>
          <w:rFonts w:ascii="Arial" w:hAnsi="Arial" w:cs="Arial"/>
          <w:spacing w:val="-1"/>
          <w:sz w:val="20"/>
          <w:szCs w:val="20"/>
          <w:lang w:val="en-CA"/>
        </w:rPr>
        <w:t>Where possible, we will present our findings on Target by its business lines – Retail (store operations and e-commerce) and Wholesale – and Corporate Overhead.</w:t>
      </w:r>
    </w:p>
    <w:p w14:paraId="6ED6D4A6" w14:textId="77777777" w:rsidR="0008326D" w:rsidRPr="009B5BBE" w:rsidRDefault="0008326D" w:rsidP="000C1AEC">
      <w:pPr>
        <w:spacing w:before="120"/>
        <w:rPr>
          <w:rFonts w:ascii="Arial" w:hAnsi="Arial" w:cs="Arial"/>
          <w:b/>
          <w:bCs/>
          <w:i/>
          <w:iCs/>
          <w:spacing w:val="-1"/>
          <w:sz w:val="20"/>
          <w:szCs w:val="20"/>
          <w:lang w:val="en-CA"/>
        </w:rPr>
      </w:pPr>
    </w:p>
    <w:p w14:paraId="07DAB38F" w14:textId="77777777" w:rsidR="000C1AEC" w:rsidRPr="009B5BBE" w:rsidRDefault="000C1AEC" w:rsidP="000C1AEC">
      <w:pPr>
        <w:pStyle w:val="ListParagraph"/>
        <w:numPr>
          <w:ilvl w:val="1"/>
          <w:numId w:val="5"/>
        </w:numPr>
        <w:autoSpaceDN w:val="0"/>
        <w:spacing w:before="120"/>
        <w:ind w:left="360" w:hanging="360"/>
        <w:contextualSpacing/>
        <w:rPr>
          <w:rFonts w:ascii="Arial" w:hAnsi="Arial" w:cs="Arial"/>
          <w:b/>
          <w:bCs/>
          <w:spacing w:val="-1"/>
          <w:sz w:val="20"/>
          <w:szCs w:val="20"/>
          <w:lang w:val="en-CA"/>
        </w:rPr>
      </w:pPr>
      <w:r w:rsidRPr="009B5BBE">
        <w:rPr>
          <w:rFonts w:ascii="Arial" w:hAnsi="Arial" w:cs="Arial"/>
          <w:b/>
          <w:bCs/>
          <w:spacing w:val="-1"/>
          <w:sz w:val="20"/>
          <w:szCs w:val="20"/>
          <w:lang w:val="en-CA"/>
        </w:rPr>
        <w:t xml:space="preserve">Financial Overview </w:t>
      </w:r>
    </w:p>
    <w:p w14:paraId="6C271DA2" w14:textId="058800BF" w:rsidR="000C1AEC" w:rsidRPr="009B5BBE" w:rsidRDefault="000C1AEC" w:rsidP="000C1AEC">
      <w:pPr>
        <w:pStyle w:val="ListParagraph"/>
        <w:spacing w:before="120"/>
        <w:ind w:left="360"/>
        <w:rPr>
          <w:rFonts w:ascii="Arial" w:hAnsi="Arial" w:cs="Arial"/>
          <w:b/>
          <w:bCs/>
          <w:spacing w:val="-1"/>
          <w:sz w:val="20"/>
          <w:szCs w:val="20"/>
          <w:lang w:val="en-CA"/>
        </w:rPr>
      </w:pPr>
      <w:r w:rsidRPr="009B5BBE">
        <w:rPr>
          <w:rFonts w:ascii="Arial" w:hAnsi="Arial" w:cs="Arial"/>
          <w:spacing w:val="-1"/>
          <w:sz w:val="20"/>
          <w:szCs w:val="20"/>
          <w:lang w:val="en-CA"/>
        </w:rPr>
        <w:t>Summarize and comment on the key</w:t>
      </w:r>
      <w:r w:rsidR="00151E64">
        <w:rPr>
          <w:rFonts w:ascii="Arial" w:hAnsi="Arial" w:cs="Arial"/>
          <w:spacing w:val="-1"/>
          <w:sz w:val="20"/>
          <w:szCs w:val="20"/>
          <w:lang w:val="en-CA"/>
        </w:rPr>
        <w:t xml:space="preserve"> Target’s accounting processes:</w:t>
      </w:r>
    </w:p>
    <w:p w14:paraId="3DAAB912" w14:textId="77777777" w:rsidR="00356376" w:rsidRPr="00356376" w:rsidRDefault="00356376" w:rsidP="00356376">
      <w:pPr>
        <w:pStyle w:val="ListParagraph"/>
        <w:numPr>
          <w:ilvl w:val="0"/>
          <w:numId w:val="6"/>
        </w:numPr>
        <w:rPr>
          <w:rFonts w:ascii="Arial" w:hAnsi="Arial" w:cs="Arial"/>
          <w:sz w:val="20"/>
          <w:szCs w:val="20"/>
          <w:lang w:val="en-CA"/>
        </w:rPr>
      </w:pPr>
      <w:r w:rsidRPr="00356376">
        <w:rPr>
          <w:rFonts w:ascii="Arial" w:hAnsi="Arial" w:cs="Arial"/>
          <w:sz w:val="20"/>
          <w:szCs w:val="20"/>
          <w:lang w:val="en-CA"/>
        </w:rPr>
        <w:t>Finance function, and financial reporting framework (including process, timing, structure of financial reporting, and interaction with the information/accounting systems);</w:t>
      </w:r>
    </w:p>
    <w:p w14:paraId="25FC44F0" w14:textId="7415CEA8" w:rsidR="003A5556" w:rsidRDefault="003A5556" w:rsidP="000C1AEC">
      <w:pPr>
        <w:pStyle w:val="ListParagraph"/>
        <w:numPr>
          <w:ilvl w:val="0"/>
          <w:numId w:val="6"/>
        </w:numPr>
        <w:autoSpaceDN w:val="0"/>
        <w:spacing w:before="120"/>
        <w:contextualSpacing/>
        <w:rPr>
          <w:rFonts w:ascii="Arial" w:hAnsi="Arial" w:cs="Arial"/>
          <w:sz w:val="20"/>
          <w:szCs w:val="20"/>
          <w:lang w:val="en-CA"/>
        </w:rPr>
      </w:pPr>
      <w:r>
        <w:rPr>
          <w:rFonts w:ascii="Arial" w:hAnsi="Arial" w:cs="Arial"/>
          <w:sz w:val="20"/>
          <w:szCs w:val="20"/>
          <w:lang w:val="en-CA"/>
        </w:rPr>
        <w:t>Understanding of key differences between US GAAP and IFRS</w:t>
      </w:r>
      <w:r w:rsidR="0008326D">
        <w:rPr>
          <w:rFonts w:ascii="Arial" w:hAnsi="Arial" w:cs="Arial"/>
          <w:sz w:val="20"/>
          <w:szCs w:val="20"/>
          <w:lang w:val="en-CA"/>
        </w:rPr>
        <w:t>, including pro forma view highlighting the impact on operating income, net income, EPS, etc.</w:t>
      </w:r>
      <w:r>
        <w:rPr>
          <w:rFonts w:ascii="Arial" w:hAnsi="Arial" w:cs="Arial"/>
          <w:sz w:val="20"/>
          <w:szCs w:val="20"/>
          <w:lang w:val="en-CA"/>
        </w:rPr>
        <w:t xml:space="preserve"> </w:t>
      </w:r>
    </w:p>
    <w:p w14:paraId="4BC3D97B" w14:textId="01DE03CA" w:rsidR="000C1AEC" w:rsidRDefault="000C1AEC" w:rsidP="000C1AEC">
      <w:pPr>
        <w:pStyle w:val="ListParagraph"/>
        <w:numPr>
          <w:ilvl w:val="0"/>
          <w:numId w:val="6"/>
        </w:numPr>
        <w:autoSpaceDN w:val="0"/>
        <w:spacing w:before="120"/>
        <w:contextualSpacing/>
        <w:rPr>
          <w:rFonts w:ascii="Arial" w:hAnsi="Arial" w:cs="Arial"/>
          <w:sz w:val="20"/>
          <w:szCs w:val="20"/>
          <w:lang w:val="en-CA"/>
        </w:rPr>
      </w:pPr>
      <w:r w:rsidRPr="009B5BBE">
        <w:rPr>
          <w:rFonts w:ascii="Arial" w:hAnsi="Arial" w:cs="Arial"/>
          <w:sz w:val="20"/>
          <w:szCs w:val="20"/>
          <w:lang w:val="en-CA"/>
        </w:rPr>
        <w:t>Key indicators of financial performance;</w:t>
      </w:r>
    </w:p>
    <w:p w14:paraId="3D441F72" w14:textId="70185698" w:rsidR="00317FEB" w:rsidRPr="009B5BBE" w:rsidRDefault="00317FEB" w:rsidP="000C1AEC">
      <w:pPr>
        <w:pStyle w:val="ListParagraph"/>
        <w:numPr>
          <w:ilvl w:val="0"/>
          <w:numId w:val="6"/>
        </w:numPr>
        <w:autoSpaceDN w:val="0"/>
        <w:spacing w:before="120"/>
        <w:contextualSpacing/>
        <w:rPr>
          <w:rFonts w:ascii="Arial" w:hAnsi="Arial" w:cs="Arial"/>
          <w:sz w:val="20"/>
          <w:szCs w:val="20"/>
          <w:lang w:val="en-CA"/>
        </w:rPr>
      </w:pPr>
      <w:r>
        <w:rPr>
          <w:rFonts w:ascii="Arial" w:hAnsi="Arial" w:cs="Arial"/>
          <w:sz w:val="20"/>
          <w:szCs w:val="20"/>
          <w:lang w:val="en-CA"/>
        </w:rPr>
        <w:t>Understand Target’s accounting of intercompany transactions and consolidation process; and</w:t>
      </w:r>
    </w:p>
    <w:p w14:paraId="63A5B604" w14:textId="7E1A82CF" w:rsidR="00356376" w:rsidRPr="00356376" w:rsidRDefault="00356376" w:rsidP="00356376">
      <w:pPr>
        <w:pStyle w:val="ListParagraph"/>
        <w:numPr>
          <w:ilvl w:val="0"/>
          <w:numId w:val="6"/>
        </w:numPr>
        <w:rPr>
          <w:rFonts w:ascii="Arial" w:hAnsi="Arial" w:cs="Arial"/>
          <w:sz w:val="20"/>
          <w:szCs w:val="20"/>
          <w:lang w:val="en-CA"/>
        </w:rPr>
      </w:pPr>
      <w:r w:rsidRPr="00356376">
        <w:rPr>
          <w:rFonts w:ascii="Arial" w:hAnsi="Arial" w:cs="Arial"/>
          <w:sz w:val="20"/>
          <w:szCs w:val="20"/>
          <w:lang w:val="en-CA"/>
        </w:rPr>
        <w:t>Significant accounting policies and estimates and contemplated changes.</w:t>
      </w:r>
    </w:p>
    <w:p w14:paraId="0BD3787E" w14:textId="77777777" w:rsidR="003A5556" w:rsidRPr="003A5556" w:rsidRDefault="003A5556" w:rsidP="003A5556">
      <w:pPr>
        <w:pStyle w:val="ListParagraph"/>
        <w:autoSpaceDN w:val="0"/>
        <w:spacing w:before="120"/>
        <w:contextualSpacing/>
        <w:rPr>
          <w:rFonts w:ascii="Arial" w:hAnsi="Arial" w:cs="Arial"/>
          <w:sz w:val="20"/>
          <w:szCs w:val="20"/>
          <w:lang w:val="en-CA"/>
        </w:rPr>
      </w:pPr>
    </w:p>
    <w:p w14:paraId="0CD61523" w14:textId="77777777" w:rsidR="000C1AEC" w:rsidRPr="009B5BBE" w:rsidRDefault="000C1AEC" w:rsidP="000C1AEC">
      <w:pPr>
        <w:pStyle w:val="ListParagraph"/>
        <w:numPr>
          <w:ilvl w:val="1"/>
          <w:numId w:val="5"/>
        </w:numPr>
        <w:autoSpaceDN w:val="0"/>
        <w:spacing w:before="120"/>
        <w:ind w:left="360" w:hanging="360"/>
        <w:contextualSpacing/>
        <w:rPr>
          <w:rFonts w:ascii="Arial" w:hAnsi="Arial" w:cs="Arial"/>
          <w:b/>
          <w:bCs/>
          <w:spacing w:val="-1"/>
          <w:sz w:val="20"/>
          <w:szCs w:val="20"/>
          <w:lang w:val="en-CA"/>
        </w:rPr>
      </w:pPr>
      <w:r w:rsidRPr="009B5BBE">
        <w:rPr>
          <w:rFonts w:ascii="Arial" w:hAnsi="Arial" w:cs="Arial"/>
          <w:b/>
          <w:bCs/>
          <w:spacing w:val="-1"/>
          <w:sz w:val="20"/>
          <w:szCs w:val="20"/>
          <w:lang w:val="en-CA"/>
        </w:rPr>
        <w:t>Quality of Earnings</w:t>
      </w:r>
    </w:p>
    <w:p w14:paraId="0BF5A51A" w14:textId="77777777" w:rsidR="000C1AEC" w:rsidRPr="009B5BBE" w:rsidRDefault="000C1AEC" w:rsidP="000C1AEC">
      <w:pPr>
        <w:pStyle w:val="ListParagraph"/>
        <w:spacing w:before="120"/>
        <w:ind w:left="360"/>
        <w:rPr>
          <w:rFonts w:ascii="Arial" w:hAnsi="Arial" w:cs="Arial"/>
          <w:sz w:val="20"/>
          <w:szCs w:val="20"/>
          <w:lang w:val="en-CA"/>
        </w:rPr>
      </w:pPr>
      <w:r w:rsidRPr="009B5BBE">
        <w:rPr>
          <w:rFonts w:ascii="Arial" w:hAnsi="Arial" w:cs="Arial"/>
          <w:spacing w:val="-1"/>
          <w:sz w:val="20"/>
          <w:szCs w:val="20"/>
          <w:lang w:val="en-CA"/>
        </w:rPr>
        <w:t xml:space="preserve">Summarize potential adjustments identified regarding the profit and loss performance of Target in the form of a quality of earnings analysis, summarizing the risks that may impact earnings before interest, taxes, </w:t>
      </w:r>
      <w:proofErr w:type="gramStart"/>
      <w:r w:rsidRPr="009B5BBE">
        <w:rPr>
          <w:rFonts w:ascii="Arial" w:hAnsi="Arial" w:cs="Arial"/>
          <w:spacing w:val="-1"/>
          <w:sz w:val="20"/>
          <w:szCs w:val="20"/>
          <w:lang w:val="en-CA"/>
        </w:rPr>
        <w:t>depreciation</w:t>
      </w:r>
      <w:proofErr w:type="gramEnd"/>
      <w:r w:rsidRPr="009B5BBE">
        <w:rPr>
          <w:rFonts w:ascii="Arial" w:hAnsi="Arial" w:cs="Arial"/>
          <w:spacing w:val="-1"/>
          <w:sz w:val="20"/>
          <w:szCs w:val="20"/>
          <w:lang w:val="en-CA"/>
        </w:rPr>
        <w:t xml:space="preserve"> and amortization (“EBITDA”) including:</w:t>
      </w:r>
      <w:r w:rsidRPr="009B5BBE">
        <w:rPr>
          <w:rFonts w:ascii="Arial" w:hAnsi="Arial" w:cs="Arial"/>
          <w:sz w:val="20"/>
          <w:szCs w:val="20"/>
          <w:lang w:val="en-CA"/>
        </w:rPr>
        <w:t xml:space="preserve"> </w:t>
      </w:r>
    </w:p>
    <w:p w14:paraId="3601678B" w14:textId="098AF078" w:rsidR="00C50BEA" w:rsidRPr="009B5BBE" w:rsidRDefault="00C50BEA" w:rsidP="000C1AEC">
      <w:pPr>
        <w:pStyle w:val="ListParagraph"/>
        <w:numPr>
          <w:ilvl w:val="0"/>
          <w:numId w:val="7"/>
        </w:numPr>
        <w:autoSpaceDN w:val="0"/>
        <w:spacing w:before="120"/>
        <w:ind w:left="720"/>
        <w:contextualSpacing/>
        <w:rPr>
          <w:rFonts w:ascii="Arial" w:hAnsi="Arial" w:cs="Arial"/>
          <w:sz w:val="20"/>
          <w:szCs w:val="20"/>
          <w:lang w:val="en-CA"/>
        </w:rPr>
      </w:pPr>
      <w:r w:rsidRPr="009B5BBE">
        <w:rPr>
          <w:rFonts w:ascii="Arial" w:hAnsi="Arial" w:cs="Arial"/>
          <w:sz w:val="20"/>
          <w:szCs w:val="20"/>
          <w:lang w:val="en-CA"/>
        </w:rPr>
        <w:t>Leverage Target’s Sell-side quality of earnings analysis as applicable</w:t>
      </w:r>
    </w:p>
    <w:p w14:paraId="69CB9190" w14:textId="4F929FAA" w:rsidR="000C1AEC" w:rsidRDefault="000C1AEC" w:rsidP="000C1AEC">
      <w:pPr>
        <w:pStyle w:val="ListParagraph"/>
        <w:numPr>
          <w:ilvl w:val="0"/>
          <w:numId w:val="7"/>
        </w:numPr>
        <w:autoSpaceDN w:val="0"/>
        <w:spacing w:before="120"/>
        <w:ind w:left="720"/>
        <w:contextualSpacing/>
        <w:rPr>
          <w:rFonts w:ascii="Arial" w:hAnsi="Arial" w:cs="Arial"/>
          <w:sz w:val="20"/>
          <w:szCs w:val="20"/>
          <w:lang w:val="en-CA"/>
        </w:rPr>
      </w:pPr>
      <w:r w:rsidRPr="009B5BBE">
        <w:rPr>
          <w:rFonts w:ascii="Arial" w:hAnsi="Arial" w:cs="Arial"/>
          <w:sz w:val="20"/>
          <w:szCs w:val="20"/>
          <w:lang w:val="en-CA"/>
        </w:rPr>
        <w:t>Impact of COVID on sales trends and expenses, and any corresponding impact relating to inventory provision or write-offs;</w:t>
      </w:r>
    </w:p>
    <w:p w14:paraId="47040EBB" w14:textId="7479A9BF" w:rsidR="00B21064" w:rsidRPr="009B5BBE" w:rsidRDefault="00B21064" w:rsidP="000C1AEC">
      <w:pPr>
        <w:pStyle w:val="ListParagraph"/>
        <w:numPr>
          <w:ilvl w:val="0"/>
          <w:numId w:val="7"/>
        </w:numPr>
        <w:autoSpaceDN w:val="0"/>
        <w:spacing w:before="120"/>
        <w:ind w:left="720"/>
        <w:contextualSpacing/>
        <w:rPr>
          <w:rFonts w:ascii="Arial" w:hAnsi="Arial" w:cs="Arial"/>
          <w:sz w:val="20"/>
          <w:szCs w:val="20"/>
          <w:lang w:val="en-CA"/>
        </w:rPr>
      </w:pPr>
      <w:r>
        <w:rPr>
          <w:rFonts w:ascii="Arial" w:hAnsi="Arial" w:cs="Arial"/>
          <w:sz w:val="20"/>
          <w:szCs w:val="20"/>
          <w:lang w:val="en-CA"/>
        </w:rPr>
        <w:t xml:space="preserve">Impact of recent input cost increases on EBITDA; </w:t>
      </w:r>
    </w:p>
    <w:p w14:paraId="78D341E3" w14:textId="13E83DAC" w:rsidR="000C1AEC" w:rsidRPr="009B5BBE" w:rsidRDefault="000C1AEC" w:rsidP="000C1AEC">
      <w:pPr>
        <w:pStyle w:val="ListParagraph"/>
        <w:numPr>
          <w:ilvl w:val="0"/>
          <w:numId w:val="7"/>
        </w:numPr>
        <w:autoSpaceDN w:val="0"/>
        <w:spacing w:before="120"/>
        <w:ind w:left="720"/>
        <w:contextualSpacing/>
        <w:rPr>
          <w:rFonts w:ascii="Arial" w:hAnsi="Arial" w:cs="Arial"/>
          <w:sz w:val="20"/>
          <w:szCs w:val="20"/>
          <w:lang w:val="en-CA"/>
        </w:rPr>
      </w:pPr>
      <w:r w:rsidRPr="009B5BBE">
        <w:rPr>
          <w:rFonts w:ascii="Arial" w:hAnsi="Arial" w:cs="Arial"/>
          <w:sz w:val="20"/>
          <w:szCs w:val="20"/>
          <w:lang w:val="en-CA"/>
        </w:rPr>
        <w:t>Impact of new locations or closures</w:t>
      </w:r>
      <w:r w:rsidR="00B21064">
        <w:rPr>
          <w:rFonts w:ascii="Arial" w:hAnsi="Arial" w:cs="Arial"/>
          <w:sz w:val="20"/>
          <w:szCs w:val="20"/>
          <w:lang w:val="en-CA"/>
        </w:rPr>
        <w:t>;</w:t>
      </w:r>
    </w:p>
    <w:p w14:paraId="5B93AC02" w14:textId="77777777" w:rsidR="000C1AEC" w:rsidRPr="009B5BBE" w:rsidRDefault="000C1AEC" w:rsidP="000C1AEC">
      <w:pPr>
        <w:pStyle w:val="ListParagraph"/>
        <w:numPr>
          <w:ilvl w:val="0"/>
          <w:numId w:val="7"/>
        </w:numPr>
        <w:autoSpaceDN w:val="0"/>
        <w:spacing w:before="120"/>
        <w:ind w:left="720"/>
        <w:contextualSpacing/>
        <w:rPr>
          <w:rFonts w:ascii="Arial" w:hAnsi="Arial" w:cs="Arial"/>
          <w:sz w:val="20"/>
          <w:szCs w:val="20"/>
          <w:lang w:val="en-CA"/>
        </w:rPr>
      </w:pPr>
      <w:r w:rsidRPr="009B5BBE">
        <w:rPr>
          <w:rFonts w:ascii="Arial" w:hAnsi="Arial" w:cs="Arial"/>
          <w:sz w:val="20"/>
          <w:szCs w:val="20"/>
          <w:lang w:val="en-CA"/>
        </w:rPr>
        <w:t>Non-recurring professional fees;</w:t>
      </w:r>
    </w:p>
    <w:p w14:paraId="22A6AFEB" w14:textId="77777777" w:rsidR="000C1AEC" w:rsidRPr="009B5BBE" w:rsidRDefault="000C1AEC" w:rsidP="000C1AEC">
      <w:pPr>
        <w:pStyle w:val="ListParagraph"/>
        <w:numPr>
          <w:ilvl w:val="0"/>
          <w:numId w:val="7"/>
        </w:numPr>
        <w:autoSpaceDN w:val="0"/>
        <w:spacing w:before="120"/>
        <w:ind w:left="720"/>
        <w:contextualSpacing/>
        <w:rPr>
          <w:rFonts w:ascii="Arial" w:hAnsi="Arial" w:cs="Arial"/>
          <w:sz w:val="20"/>
          <w:szCs w:val="20"/>
          <w:lang w:val="en-CA"/>
        </w:rPr>
      </w:pPr>
      <w:r w:rsidRPr="009B5BBE">
        <w:rPr>
          <w:rFonts w:ascii="Arial" w:hAnsi="Arial" w:cs="Arial"/>
          <w:sz w:val="20"/>
          <w:szCs w:val="20"/>
          <w:lang w:val="en-CA"/>
        </w:rPr>
        <w:t>The impact of provisions, estimates, or adjusting entries on the reported results;</w:t>
      </w:r>
    </w:p>
    <w:p w14:paraId="6FB7A1CF" w14:textId="123E8D7A" w:rsidR="000C1AEC" w:rsidRPr="009B5BBE" w:rsidRDefault="000C1AEC" w:rsidP="000C1AEC">
      <w:pPr>
        <w:pStyle w:val="ListParagraph"/>
        <w:numPr>
          <w:ilvl w:val="0"/>
          <w:numId w:val="7"/>
        </w:numPr>
        <w:autoSpaceDN w:val="0"/>
        <w:spacing w:before="120"/>
        <w:ind w:left="720"/>
        <w:contextualSpacing/>
        <w:rPr>
          <w:rFonts w:ascii="Arial" w:hAnsi="Arial" w:cs="Arial"/>
          <w:sz w:val="20"/>
          <w:szCs w:val="20"/>
          <w:lang w:val="en-CA"/>
        </w:rPr>
      </w:pPr>
      <w:r w:rsidRPr="009B5BBE">
        <w:rPr>
          <w:rFonts w:ascii="Arial" w:hAnsi="Arial" w:cs="Arial"/>
          <w:sz w:val="20"/>
          <w:szCs w:val="20"/>
          <w:lang w:val="en-CA"/>
        </w:rPr>
        <w:t>The impact of related party transactions</w:t>
      </w:r>
      <w:r w:rsidR="00DF711B">
        <w:rPr>
          <w:rFonts w:ascii="Arial" w:hAnsi="Arial" w:cs="Arial"/>
          <w:sz w:val="20"/>
          <w:szCs w:val="20"/>
          <w:lang w:val="en-CA"/>
        </w:rPr>
        <w:t xml:space="preserve"> (</w:t>
      </w:r>
      <w:proofErr w:type="gramStart"/>
      <w:r w:rsidR="0008326D">
        <w:rPr>
          <w:rFonts w:ascii="Arial" w:hAnsi="Arial" w:cs="Arial"/>
          <w:sz w:val="20"/>
          <w:szCs w:val="20"/>
          <w:lang w:val="en-CA"/>
        </w:rPr>
        <w:t>e.g.</w:t>
      </w:r>
      <w:proofErr w:type="gramEnd"/>
      <w:r w:rsidR="00126582">
        <w:rPr>
          <w:rFonts w:ascii="Arial" w:hAnsi="Arial" w:cs="Arial"/>
          <w:sz w:val="20"/>
          <w:szCs w:val="20"/>
          <w:lang w:val="en-CA"/>
        </w:rPr>
        <w:t xml:space="preserve"> related party family adjustments</w:t>
      </w:r>
      <w:r w:rsidR="0008326D">
        <w:rPr>
          <w:rFonts w:ascii="Arial" w:hAnsi="Arial" w:cs="Arial"/>
          <w:sz w:val="20"/>
          <w:szCs w:val="20"/>
          <w:lang w:val="en-CA"/>
        </w:rPr>
        <w:t xml:space="preserve"> to EBITDA</w:t>
      </w:r>
      <w:r w:rsidR="00665661">
        <w:rPr>
          <w:rFonts w:ascii="Arial" w:hAnsi="Arial" w:cs="Arial"/>
          <w:sz w:val="20"/>
          <w:szCs w:val="20"/>
          <w:lang w:val="en-CA"/>
        </w:rPr>
        <w:t>, related party leases, etc.</w:t>
      </w:r>
      <w:r w:rsidR="00126582">
        <w:rPr>
          <w:rFonts w:ascii="Arial" w:hAnsi="Arial" w:cs="Arial"/>
          <w:sz w:val="20"/>
          <w:szCs w:val="20"/>
          <w:lang w:val="en-CA"/>
        </w:rPr>
        <w:t>)</w:t>
      </w:r>
      <w:r w:rsidRPr="009B5BBE">
        <w:rPr>
          <w:rFonts w:ascii="Arial" w:hAnsi="Arial" w:cs="Arial"/>
          <w:sz w:val="20"/>
          <w:szCs w:val="20"/>
          <w:lang w:val="en-CA"/>
        </w:rPr>
        <w:t>; and</w:t>
      </w:r>
    </w:p>
    <w:p w14:paraId="72C7816D" w14:textId="77777777" w:rsidR="000C1AEC" w:rsidRDefault="000C1AEC" w:rsidP="000C1AEC">
      <w:pPr>
        <w:pStyle w:val="ListParagraph"/>
        <w:numPr>
          <w:ilvl w:val="0"/>
          <w:numId w:val="7"/>
        </w:numPr>
        <w:autoSpaceDN w:val="0"/>
        <w:spacing w:before="120"/>
        <w:ind w:left="720"/>
        <w:contextualSpacing/>
        <w:rPr>
          <w:rFonts w:ascii="Arial" w:hAnsi="Arial" w:cs="Arial"/>
          <w:sz w:val="20"/>
          <w:szCs w:val="20"/>
          <w:lang w:val="en-CA"/>
        </w:rPr>
      </w:pPr>
      <w:r w:rsidRPr="009B5BBE">
        <w:rPr>
          <w:rFonts w:ascii="Arial" w:hAnsi="Arial" w:cs="Arial"/>
          <w:sz w:val="20"/>
          <w:szCs w:val="20"/>
          <w:lang w:val="en-CA"/>
        </w:rPr>
        <w:t xml:space="preserve">Any other large, </w:t>
      </w:r>
      <w:proofErr w:type="gramStart"/>
      <w:r w:rsidRPr="009B5BBE">
        <w:rPr>
          <w:rFonts w:ascii="Arial" w:hAnsi="Arial" w:cs="Arial"/>
          <w:sz w:val="20"/>
          <w:szCs w:val="20"/>
          <w:lang w:val="en-CA"/>
        </w:rPr>
        <w:t>unusual</w:t>
      </w:r>
      <w:proofErr w:type="gramEnd"/>
      <w:r w:rsidRPr="009B5BBE">
        <w:rPr>
          <w:rFonts w:ascii="Arial" w:hAnsi="Arial" w:cs="Arial"/>
          <w:sz w:val="20"/>
          <w:szCs w:val="20"/>
          <w:lang w:val="en-CA"/>
        </w:rPr>
        <w:t xml:space="preserve"> or non-recurring events or transactions that may have distorted results.</w:t>
      </w:r>
    </w:p>
    <w:p w14:paraId="007B7F1E" w14:textId="77777777" w:rsidR="009E5A6A" w:rsidRPr="009B5BBE" w:rsidRDefault="009E5A6A" w:rsidP="000C1AEC">
      <w:pPr>
        <w:pStyle w:val="ListParagraph"/>
        <w:numPr>
          <w:ilvl w:val="0"/>
          <w:numId w:val="7"/>
        </w:numPr>
        <w:autoSpaceDN w:val="0"/>
        <w:spacing w:before="120"/>
        <w:ind w:left="720"/>
        <w:contextualSpacing/>
        <w:rPr>
          <w:rFonts w:ascii="Arial" w:hAnsi="Arial" w:cs="Arial"/>
          <w:sz w:val="20"/>
          <w:szCs w:val="20"/>
          <w:lang w:val="en-CA"/>
        </w:rPr>
      </w:pPr>
    </w:p>
    <w:p w14:paraId="6ABD1CEB" w14:textId="77777777" w:rsidR="000C1AEC" w:rsidRPr="009B5BBE" w:rsidRDefault="000C1AEC" w:rsidP="000C1AEC">
      <w:pPr>
        <w:pStyle w:val="ListParagraph"/>
        <w:spacing w:before="120"/>
        <w:rPr>
          <w:rFonts w:ascii="Arial" w:hAnsi="Arial" w:cs="Arial"/>
          <w:sz w:val="20"/>
          <w:szCs w:val="20"/>
          <w:lang w:val="en-CA"/>
        </w:rPr>
      </w:pPr>
    </w:p>
    <w:p w14:paraId="740B59FB" w14:textId="77777777" w:rsidR="000C1AEC" w:rsidRPr="009B5BBE" w:rsidRDefault="000C1AEC" w:rsidP="000C1AEC">
      <w:pPr>
        <w:pStyle w:val="ListParagraph"/>
        <w:numPr>
          <w:ilvl w:val="1"/>
          <w:numId w:val="5"/>
        </w:numPr>
        <w:autoSpaceDN w:val="0"/>
        <w:spacing w:before="120"/>
        <w:ind w:left="360" w:hanging="360"/>
        <w:contextualSpacing/>
        <w:rPr>
          <w:rFonts w:ascii="Arial" w:hAnsi="Arial" w:cs="Arial"/>
          <w:spacing w:val="-1"/>
          <w:sz w:val="20"/>
          <w:szCs w:val="20"/>
          <w:lang w:val="en-CA"/>
        </w:rPr>
      </w:pPr>
      <w:r w:rsidRPr="009B5BBE">
        <w:rPr>
          <w:rFonts w:ascii="Arial" w:hAnsi="Arial" w:cs="Arial"/>
          <w:b/>
          <w:bCs/>
          <w:spacing w:val="-1"/>
          <w:sz w:val="20"/>
          <w:szCs w:val="20"/>
          <w:lang w:val="en-CA"/>
        </w:rPr>
        <w:t>Supporting analysis for quality of earnings</w:t>
      </w:r>
    </w:p>
    <w:p w14:paraId="7287E0A0" w14:textId="77777777" w:rsidR="000C1AEC" w:rsidRPr="009B5BBE" w:rsidRDefault="000C1AEC" w:rsidP="000C1AEC">
      <w:pPr>
        <w:pStyle w:val="ListParagraph"/>
        <w:spacing w:before="120"/>
        <w:ind w:left="360"/>
        <w:rPr>
          <w:rFonts w:ascii="Arial" w:hAnsi="Arial" w:cs="Arial"/>
          <w:spacing w:val="-1"/>
          <w:sz w:val="20"/>
          <w:szCs w:val="20"/>
          <w:lang w:val="en-CA"/>
        </w:rPr>
      </w:pPr>
      <w:r w:rsidRPr="009B5BBE">
        <w:rPr>
          <w:rFonts w:ascii="Arial" w:hAnsi="Arial" w:cs="Arial"/>
          <w:spacing w:val="-1"/>
          <w:sz w:val="20"/>
          <w:szCs w:val="20"/>
          <w:lang w:val="en-CA"/>
        </w:rPr>
        <w:t>Obtain and read an analysis of sales and expenses, and enquire about, to the extent available:</w:t>
      </w:r>
    </w:p>
    <w:p w14:paraId="3884F083" w14:textId="55FF3C43" w:rsidR="00864FFA" w:rsidRDefault="00864FFA" w:rsidP="00864FFA">
      <w:pPr>
        <w:pStyle w:val="ListParagraph"/>
        <w:numPr>
          <w:ilvl w:val="0"/>
          <w:numId w:val="8"/>
        </w:numPr>
        <w:rPr>
          <w:rFonts w:ascii="Arial" w:hAnsi="Arial" w:cs="Arial"/>
          <w:sz w:val="20"/>
          <w:szCs w:val="20"/>
          <w:lang w:val="en-CA"/>
        </w:rPr>
      </w:pPr>
      <w:r w:rsidRPr="00864FFA">
        <w:rPr>
          <w:rFonts w:ascii="Arial" w:hAnsi="Arial" w:cs="Arial"/>
          <w:sz w:val="20"/>
          <w:szCs w:val="20"/>
          <w:lang w:val="en-CA"/>
        </w:rPr>
        <w:t xml:space="preserve">Sales and COGS adjustments (including sales returns, markdowns, stock shrinkage, obsolescence, </w:t>
      </w:r>
      <w:r>
        <w:rPr>
          <w:rFonts w:ascii="Arial" w:hAnsi="Arial" w:cs="Arial"/>
          <w:sz w:val="20"/>
          <w:szCs w:val="20"/>
          <w:lang w:val="en-CA"/>
        </w:rPr>
        <w:t xml:space="preserve">discounts, rebates, </w:t>
      </w:r>
      <w:r w:rsidRPr="00864FFA">
        <w:rPr>
          <w:rFonts w:ascii="Arial" w:hAnsi="Arial" w:cs="Arial"/>
          <w:sz w:val="20"/>
          <w:szCs w:val="20"/>
          <w:lang w:val="en-CA"/>
        </w:rPr>
        <w:t xml:space="preserve">other income); </w:t>
      </w:r>
    </w:p>
    <w:p w14:paraId="3BB7BBDE" w14:textId="4B24113C" w:rsidR="00317FEB" w:rsidRDefault="00317FEB" w:rsidP="00317FEB">
      <w:pPr>
        <w:pStyle w:val="ListParagraph"/>
        <w:numPr>
          <w:ilvl w:val="1"/>
          <w:numId w:val="8"/>
        </w:numPr>
        <w:rPr>
          <w:rFonts w:ascii="Arial" w:hAnsi="Arial" w:cs="Arial"/>
          <w:sz w:val="20"/>
          <w:szCs w:val="20"/>
          <w:lang w:val="en-CA"/>
        </w:rPr>
      </w:pPr>
      <w:r>
        <w:rPr>
          <w:rFonts w:ascii="Arial" w:hAnsi="Arial" w:cs="Arial"/>
          <w:sz w:val="20"/>
          <w:szCs w:val="20"/>
          <w:lang w:val="en-CA"/>
        </w:rPr>
        <w:t xml:space="preserve">For Retail, understand sales and growth by tonnage; </w:t>
      </w:r>
    </w:p>
    <w:p w14:paraId="41B5F7C0" w14:textId="32EF9F63" w:rsidR="00317FEB" w:rsidRDefault="00317FEB" w:rsidP="000A3E0E">
      <w:pPr>
        <w:pStyle w:val="ListParagraph"/>
        <w:numPr>
          <w:ilvl w:val="1"/>
          <w:numId w:val="8"/>
        </w:numPr>
        <w:rPr>
          <w:rFonts w:ascii="Arial" w:hAnsi="Arial" w:cs="Arial"/>
          <w:sz w:val="20"/>
          <w:szCs w:val="20"/>
          <w:lang w:val="en-CA"/>
        </w:rPr>
      </w:pPr>
      <w:r>
        <w:rPr>
          <w:rFonts w:ascii="Arial" w:hAnsi="Arial" w:cs="Arial"/>
          <w:sz w:val="20"/>
          <w:szCs w:val="20"/>
          <w:lang w:val="en-CA"/>
        </w:rPr>
        <w:t>For Wholesale, understand sales and growth by customer account</w:t>
      </w:r>
    </w:p>
    <w:p w14:paraId="5B42A053" w14:textId="6A07A550" w:rsidR="00864FFA" w:rsidRPr="00F438E2" w:rsidRDefault="00864FFA" w:rsidP="00864FFA">
      <w:pPr>
        <w:pStyle w:val="ListParagraph"/>
        <w:numPr>
          <w:ilvl w:val="0"/>
          <w:numId w:val="8"/>
        </w:numPr>
        <w:rPr>
          <w:rFonts w:ascii="Arial" w:hAnsi="Arial" w:cs="Arial"/>
          <w:sz w:val="20"/>
          <w:szCs w:val="20"/>
          <w:lang w:val="en-CA"/>
        </w:rPr>
      </w:pPr>
      <w:r w:rsidRPr="00F438E2">
        <w:rPr>
          <w:rFonts w:ascii="Arial" w:hAnsi="Arial" w:cs="Arial"/>
          <w:sz w:val="20"/>
          <w:szCs w:val="20"/>
          <w:lang w:val="en-CA"/>
        </w:rPr>
        <w:t>Store costs analyzed as a percentage of sales</w:t>
      </w:r>
      <w:r w:rsidR="00B21064">
        <w:rPr>
          <w:rFonts w:ascii="Arial" w:hAnsi="Arial" w:cs="Arial"/>
          <w:sz w:val="20"/>
          <w:szCs w:val="20"/>
          <w:lang w:val="en-CA"/>
        </w:rPr>
        <w:t xml:space="preserve">, square footage, </w:t>
      </w:r>
      <w:r w:rsidRPr="00F438E2">
        <w:rPr>
          <w:rFonts w:ascii="Arial" w:hAnsi="Arial" w:cs="Arial"/>
          <w:sz w:val="20"/>
          <w:szCs w:val="20"/>
          <w:lang w:val="en-CA"/>
        </w:rPr>
        <w:t xml:space="preserve">or </w:t>
      </w:r>
      <w:proofErr w:type="gramStart"/>
      <w:r w:rsidR="00B21064">
        <w:rPr>
          <w:rFonts w:ascii="Arial" w:hAnsi="Arial" w:cs="Arial"/>
          <w:sz w:val="20"/>
          <w:szCs w:val="20"/>
          <w:lang w:val="en-CA"/>
        </w:rPr>
        <w:t>other</w:t>
      </w:r>
      <w:proofErr w:type="gramEnd"/>
      <w:r w:rsidR="00B21064">
        <w:rPr>
          <w:rFonts w:ascii="Arial" w:hAnsi="Arial" w:cs="Arial"/>
          <w:sz w:val="20"/>
          <w:szCs w:val="20"/>
          <w:lang w:val="en-CA"/>
        </w:rPr>
        <w:t xml:space="preserve"> </w:t>
      </w:r>
      <w:r w:rsidRPr="00F438E2">
        <w:rPr>
          <w:rFonts w:ascii="Arial" w:hAnsi="Arial" w:cs="Arial"/>
          <w:sz w:val="20"/>
          <w:szCs w:val="20"/>
          <w:lang w:val="en-CA"/>
        </w:rPr>
        <w:t>applicable metric</w:t>
      </w:r>
    </w:p>
    <w:p w14:paraId="3DCA642A" w14:textId="0A9A040F" w:rsidR="00C50BEA" w:rsidRPr="009B5BBE" w:rsidRDefault="00C50BEA" w:rsidP="00C50BEA">
      <w:pPr>
        <w:pStyle w:val="ListParagraph"/>
        <w:numPr>
          <w:ilvl w:val="0"/>
          <w:numId w:val="8"/>
        </w:numPr>
        <w:autoSpaceDN w:val="0"/>
        <w:spacing w:before="120"/>
        <w:contextualSpacing/>
        <w:rPr>
          <w:rFonts w:ascii="Arial" w:hAnsi="Arial" w:cs="Arial"/>
          <w:sz w:val="20"/>
          <w:szCs w:val="20"/>
          <w:lang w:val="en-CA"/>
        </w:rPr>
      </w:pPr>
      <w:r w:rsidRPr="009B5BBE">
        <w:rPr>
          <w:rFonts w:ascii="Arial" w:hAnsi="Arial" w:cs="Arial"/>
          <w:sz w:val="20"/>
          <w:szCs w:val="20"/>
          <w:lang w:val="en-CA"/>
        </w:rPr>
        <w:t>Evaluate and understand the key trends and dynamics that impact sustainability of revenue</w:t>
      </w:r>
      <w:r w:rsidR="00B21064">
        <w:rPr>
          <w:rFonts w:ascii="Arial" w:hAnsi="Arial" w:cs="Arial"/>
          <w:sz w:val="20"/>
          <w:szCs w:val="20"/>
          <w:lang w:val="en-CA"/>
        </w:rPr>
        <w:t xml:space="preserve"> and margins</w:t>
      </w:r>
      <w:r w:rsidRPr="009B5BBE">
        <w:rPr>
          <w:rFonts w:ascii="Arial" w:hAnsi="Arial" w:cs="Arial"/>
          <w:sz w:val="20"/>
          <w:szCs w:val="20"/>
          <w:lang w:val="en-CA"/>
        </w:rPr>
        <w:t xml:space="preserve">; </w:t>
      </w:r>
    </w:p>
    <w:p w14:paraId="18718769" w14:textId="205F8D2B" w:rsidR="00C50BEA" w:rsidRPr="009B5BBE" w:rsidRDefault="00C50BEA" w:rsidP="00C50BEA">
      <w:pPr>
        <w:pStyle w:val="ListParagraph"/>
        <w:numPr>
          <w:ilvl w:val="1"/>
          <w:numId w:val="8"/>
        </w:numPr>
        <w:autoSpaceDN w:val="0"/>
        <w:spacing w:before="120"/>
        <w:contextualSpacing/>
        <w:rPr>
          <w:rFonts w:ascii="Arial" w:hAnsi="Arial" w:cs="Arial"/>
          <w:sz w:val="20"/>
          <w:szCs w:val="20"/>
          <w:lang w:val="en-CA"/>
        </w:rPr>
      </w:pPr>
      <w:r w:rsidRPr="009B5BBE">
        <w:rPr>
          <w:rFonts w:ascii="Arial" w:hAnsi="Arial" w:cs="Arial"/>
          <w:sz w:val="20"/>
          <w:szCs w:val="20"/>
          <w:lang w:val="en-CA"/>
        </w:rPr>
        <w:t xml:space="preserve">Evaluate </w:t>
      </w:r>
      <w:r w:rsidR="00864FFA">
        <w:rPr>
          <w:rFonts w:ascii="Arial" w:hAnsi="Arial" w:cs="Arial"/>
          <w:sz w:val="20"/>
          <w:szCs w:val="20"/>
          <w:lang w:val="en-CA"/>
        </w:rPr>
        <w:t xml:space="preserve">product mix </w:t>
      </w:r>
      <w:r w:rsidRPr="009B5BBE">
        <w:rPr>
          <w:rFonts w:ascii="Arial" w:hAnsi="Arial" w:cs="Arial"/>
          <w:sz w:val="20"/>
          <w:szCs w:val="20"/>
          <w:lang w:val="en-CA"/>
        </w:rPr>
        <w:t xml:space="preserve">by revenue, costs, and margin to extract key trends that impact revenue forecasts and store performance </w:t>
      </w:r>
      <w:r w:rsidR="000117BC">
        <w:rPr>
          <w:rFonts w:ascii="Arial" w:hAnsi="Arial" w:cs="Arial"/>
          <w:sz w:val="20"/>
          <w:szCs w:val="20"/>
          <w:lang w:val="en-CA"/>
        </w:rPr>
        <w:t xml:space="preserve">for both the retail business and the wholesale business </w:t>
      </w:r>
    </w:p>
    <w:p w14:paraId="56648D0D" w14:textId="1486B805" w:rsidR="00C50BEA" w:rsidRPr="009B5BBE" w:rsidRDefault="00C50BEA" w:rsidP="00C50BEA">
      <w:pPr>
        <w:pStyle w:val="ListParagraph"/>
        <w:numPr>
          <w:ilvl w:val="1"/>
          <w:numId w:val="8"/>
        </w:numPr>
        <w:autoSpaceDN w:val="0"/>
        <w:spacing w:before="120"/>
        <w:contextualSpacing/>
        <w:rPr>
          <w:rFonts w:ascii="Arial" w:hAnsi="Arial" w:cs="Arial"/>
          <w:sz w:val="20"/>
          <w:szCs w:val="20"/>
          <w:lang w:val="en-CA"/>
        </w:rPr>
      </w:pPr>
      <w:r w:rsidRPr="009B5BBE">
        <w:rPr>
          <w:rFonts w:ascii="Arial" w:hAnsi="Arial" w:cs="Arial"/>
          <w:sz w:val="20"/>
          <w:szCs w:val="20"/>
          <w:lang w:val="en-CA"/>
        </w:rPr>
        <w:t xml:space="preserve">Analyze cross-sell, upsell, retention; cohorts of </w:t>
      </w:r>
      <w:r w:rsidR="00864FFA">
        <w:rPr>
          <w:rFonts w:ascii="Arial" w:hAnsi="Arial" w:cs="Arial"/>
          <w:sz w:val="20"/>
          <w:szCs w:val="20"/>
          <w:lang w:val="en-CA"/>
        </w:rPr>
        <w:t>product category</w:t>
      </w:r>
      <w:r w:rsidRPr="009B5BBE">
        <w:rPr>
          <w:rFonts w:ascii="Arial" w:hAnsi="Arial" w:cs="Arial"/>
          <w:sz w:val="20"/>
          <w:szCs w:val="20"/>
          <w:lang w:val="en-CA"/>
        </w:rPr>
        <w:t xml:space="preserve"> and typical purchasing behaviors (e.g., bundling, etc.)</w:t>
      </w:r>
    </w:p>
    <w:p w14:paraId="6A84179E" w14:textId="67B0255E" w:rsidR="00C50BEA" w:rsidRPr="009B5BBE" w:rsidRDefault="00C50BEA" w:rsidP="00C50BEA">
      <w:pPr>
        <w:pStyle w:val="ListParagraph"/>
        <w:numPr>
          <w:ilvl w:val="1"/>
          <w:numId w:val="8"/>
        </w:numPr>
        <w:autoSpaceDN w:val="0"/>
        <w:spacing w:before="120"/>
        <w:contextualSpacing/>
        <w:rPr>
          <w:rFonts w:ascii="Arial" w:hAnsi="Arial" w:cs="Arial"/>
          <w:sz w:val="20"/>
          <w:szCs w:val="20"/>
          <w:lang w:val="en-CA"/>
        </w:rPr>
      </w:pPr>
      <w:r w:rsidRPr="009B5BBE">
        <w:rPr>
          <w:rFonts w:ascii="Arial" w:hAnsi="Arial" w:cs="Arial"/>
          <w:sz w:val="20"/>
          <w:szCs w:val="20"/>
          <w:lang w:val="en-CA"/>
        </w:rPr>
        <w:t>Understand impact of any private label brands on margin; any differences by location</w:t>
      </w:r>
    </w:p>
    <w:p w14:paraId="688AF7D1" w14:textId="0DCA36C0" w:rsidR="00C50BEA" w:rsidRPr="009B5BBE" w:rsidRDefault="00C50BEA" w:rsidP="00C50BEA">
      <w:pPr>
        <w:pStyle w:val="ListParagraph"/>
        <w:numPr>
          <w:ilvl w:val="1"/>
          <w:numId w:val="8"/>
        </w:numPr>
        <w:autoSpaceDN w:val="0"/>
        <w:spacing w:before="120"/>
        <w:contextualSpacing/>
        <w:rPr>
          <w:rFonts w:ascii="Arial" w:hAnsi="Arial" w:cs="Arial"/>
          <w:sz w:val="20"/>
          <w:szCs w:val="20"/>
          <w:lang w:val="en-CA"/>
        </w:rPr>
      </w:pPr>
      <w:r w:rsidRPr="009B5BBE">
        <w:rPr>
          <w:rFonts w:ascii="Arial" w:hAnsi="Arial" w:cs="Arial"/>
          <w:sz w:val="20"/>
          <w:szCs w:val="20"/>
          <w:lang w:val="en-CA"/>
        </w:rPr>
        <w:t>Evaluate by location to understand gross margin contributions</w:t>
      </w:r>
    </w:p>
    <w:p w14:paraId="7FA15847" w14:textId="0F4E5736" w:rsidR="00C50BEA" w:rsidRPr="009B5BBE" w:rsidRDefault="00C50BEA" w:rsidP="00C50BEA">
      <w:pPr>
        <w:pStyle w:val="ListParagraph"/>
        <w:numPr>
          <w:ilvl w:val="0"/>
          <w:numId w:val="8"/>
        </w:numPr>
        <w:autoSpaceDN w:val="0"/>
        <w:spacing w:before="120"/>
        <w:contextualSpacing/>
        <w:rPr>
          <w:rFonts w:ascii="Arial" w:hAnsi="Arial" w:cs="Arial"/>
          <w:sz w:val="20"/>
          <w:szCs w:val="20"/>
          <w:lang w:val="en-CA"/>
        </w:rPr>
      </w:pPr>
      <w:r w:rsidRPr="009B5BBE">
        <w:rPr>
          <w:rFonts w:ascii="Arial" w:hAnsi="Arial" w:cs="Arial"/>
          <w:sz w:val="20"/>
          <w:szCs w:val="20"/>
          <w:lang w:val="en-CA"/>
        </w:rPr>
        <w:lastRenderedPageBreak/>
        <w:t xml:space="preserve">Analyze business performance, trends, revenue, costs, and margin by location; including typical </w:t>
      </w:r>
      <w:r w:rsidR="00864FFA">
        <w:rPr>
          <w:rFonts w:ascii="Arial" w:hAnsi="Arial" w:cs="Arial"/>
          <w:sz w:val="20"/>
          <w:szCs w:val="20"/>
          <w:lang w:val="en-CA"/>
        </w:rPr>
        <w:t>product category</w:t>
      </w:r>
      <w:r w:rsidR="00864FFA" w:rsidRPr="009B5BBE">
        <w:rPr>
          <w:rFonts w:ascii="Arial" w:hAnsi="Arial" w:cs="Arial"/>
          <w:sz w:val="20"/>
          <w:szCs w:val="20"/>
          <w:lang w:val="en-CA"/>
        </w:rPr>
        <w:t xml:space="preserve"> </w:t>
      </w:r>
      <w:r w:rsidRPr="009B5BBE">
        <w:rPr>
          <w:rFonts w:ascii="Arial" w:hAnsi="Arial" w:cs="Arial"/>
          <w:sz w:val="20"/>
          <w:szCs w:val="20"/>
          <w:lang w:val="en-CA"/>
        </w:rPr>
        <w:t>offered at locations that impact the differences in performance – informs locations to rationalize / expand</w:t>
      </w:r>
    </w:p>
    <w:p w14:paraId="6BC48930" w14:textId="307DD11F" w:rsidR="00C50BEA" w:rsidRPr="009B5BBE" w:rsidRDefault="00C50BEA" w:rsidP="00C50BEA">
      <w:pPr>
        <w:pStyle w:val="ListParagraph"/>
        <w:numPr>
          <w:ilvl w:val="1"/>
          <w:numId w:val="8"/>
        </w:numPr>
        <w:autoSpaceDN w:val="0"/>
        <w:spacing w:before="120"/>
        <w:contextualSpacing/>
        <w:rPr>
          <w:rFonts w:ascii="Arial" w:hAnsi="Arial" w:cs="Arial"/>
          <w:sz w:val="20"/>
          <w:szCs w:val="20"/>
          <w:lang w:val="en-CA"/>
        </w:rPr>
      </w:pPr>
      <w:r w:rsidRPr="009B5BBE">
        <w:rPr>
          <w:rFonts w:ascii="Arial" w:hAnsi="Arial" w:cs="Arial"/>
          <w:sz w:val="20"/>
          <w:szCs w:val="20"/>
          <w:lang w:val="en-CA"/>
        </w:rPr>
        <w:t>Evaluate local competitive presence (e.g., number of competitors within 5 or 10km radius circles) that might impact store performance</w:t>
      </w:r>
    </w:p>
    <w:p w14:paraId="6DCFD7C4" w14:textId="4B74595B" w:rsidR="00C50BEA" w:rsidRPr="009B5BBE" w:rsidRDefault="00C50BEA" w:rsidP="00C50BEA">
      <w:pPr>
        <w:pStyle w:val="ListParagraph"/>
        <w:numPr>
          <w:ilvl w:val="1"/>
          <w:numId w:val="8"/>
        </w:numPr>
        <w:autoSpaceDN w:val="0"/>
        <w:spacing w:before="120"/>
        <w:contextualSpacing/>
        <w:rPr>
          <w:rFonts w:ascii="Arial" w:hAnsi="Arial" w:cs="Arial"/>
          <w:sz w:val="20"/>
          <w:szCs w:val="20"/>
          <w:lang w:val="en-CA"/>
        </w:rPr>
      </w:pPr>
      <w:r w:rsidRPr="009B5BBE">
        <w:rPr>
          <w:rFonts w:ascii="Arial" w:hAnsi="Arial" w:cs="Arial"/>
          <w:sz w:val="20"/>
          <w:szCs w:val="20"/>
          <w:lang w:val="en-CA"/>
        </w:rPr>
        <w:t xml:space="preserve">Integrate with insights from conducting </w:t>
      </w:r>
      <w:r w:rsidR="00137003">
        <w:rPr>
          <w:rFonts w:ascii="Arial" w:hAnsi="Arial" w:cs="Arial"/>
          <w:sz w:val="20"/>
          <w:szCs w:val="20"/>
          <w:lang w:val="en-CA"/>
        </w:rPr>
        <w:t>product category</w:t>
      </w:r>
      <w:r w:rsidR="00137003" w:rsidRPr="009B5BBE">
        <w:rPr>
          <w:rFonts w:ascii="Arial" w:hAnsi="Arial" w:cs="Arial"/>
          <w:sz w:val="20"/>
          <w:szCs w:val="20"/>
          <w:lang w:val="en-CA"/>
        </w:rPr>
        <w:t xml:space="preserve"> </w:t>
      </w:r>
      <w:r w:rsidRPr="009B5BBE">
        <w:rPr>
          <w:rFonts w:ascii="Arial" w:hAnsi="Arial" w:cs="Arial"/>
          <w:sz w:val="20"/>
          <w:szCs w:val="20"/>
          <w:lang w:val="en-CA"/>
        </w:rPr>
        <w:t>analysis</w:t>
      </w:r>
    </w:p>
    <w:p w14:paraId="4C43F2BE" w14:textId="0C40BE83" w:rsidR="00137003" w:rsidRPr="00F438E2" w:rsidRDefault="00137003" w:rsidP="00137003">
      <w:pPr>
        <w:pStyle w:val="ListParagraph"/>
        <w:numPr>
          <w:ilvl w:val="0"/>
          <w:numId w:val="8"/>
        </w:numPr>
        <w:autoSpaceDN w:val="0"/>
        <w:spacing w:before="120"/>
        <w:contextualSpacing/>
        <w:rPr>
          <w:rFonts w:ascii="Arial" w:hAnsi="Arial" w:cs="Arial"/>
          <w:sz w:val="20"/>
          <w:szCs w:val="20"/>
          <w:lang w:val="en-CA"/>
        </w:rPr>
      </w:pPr>
      <w:r w:rsidRPr="00F438E2">
        <w:rPr>
          <w:rFonts w:ascii="Arial" w:hAnsi="Arial" w:cs="Arial"/>
          <w:sz w:val="20"/>
          <w:szCs w:val="20"/>
          <w:lang w:val="en-CA"/>
        </w:rPr>
        <w:t>Conduct a ramp-up analysis for recent locations to evaluate any relevant EBITDA adjustments that were identified</w:t>
      </w:r>
    </w:p>
    <w:p w14:paraId="5995789B" w14:textId="4994CE60" w:rsidR="00C50BEA" w:rsidRPr="009B5BBE" w:rsidRDefault="00C50BEA" w:rsidP="00C50BEA">
      <w:pPr>
        <w:pStyle w:val="ListParagraph"/>
        <w:numPr>
          <w:ilvl w:val="0"/>
          <w:numId w:val="8"/>
        </w:numPr>
        <w:autoSpaceDN w:val="0"/>
        <w:spacing w:before="120"/>
        <w:contextualSpacing/>
        <w:rPr>
          <w:rFonts w:ascii="Arial" w:hAnsi="Arial" w:cs="Arial"/>
          <w:sz w:val="20"/>
          <w:szCs w:val="20"/>
          <w:lang w:val="en-CA"/>
        </w:rPr>
      </w:pPr>
      <w:r w:rsidRPr="009B5BBE">
        <w:rPr>
          <w:rFonts w:ascii="Arial" w:hAnsi="Arial" w:cs="Arial"/>
          <w:sz w:val="20"/>
          <w:szCs w:val="20"/>
          <w:lang w:val="en-CA"/>
        </w:rPr>
        <w:t xml:space="preserve">Analyze the health of the customer base, including purchasing patterns (e.g., every few days, or week, etc.) and typical purchased / bucketed </w:t>
      </w:r>
      <w:r w:rsidR="00137003">
        <w:rPr>
          <w:rFonts w:ascii="Arial" w:hAnsi="Arial" w:cs="Arial"/>
          <w:sz w:val="20"/>
          <w:szCs w:val="20"/>
          <w:lang w:val="en-CA"/>
        </w:rPr>
        <w:t>categories</w:t>
      </w:r>
    </w:p>
    <w:p w14:paraId="5640BCA1" w14:textId="0BC14C38" w:rsidR="00C50BEA" w:rsidRPr="009B5BBE" w:rsidRDefault="00C50BEA" w:rsidP="00C50BEA">
      <w:pPr>
        <w:pStyle w:val="ListParagraph"/>
        <w:numPr>
          <w:ilvl w:val="1"/>
          <w:numId w:val="8"/>
        </w:numPr>
        <w:autoSpaceDN w:val="0"/>
        <w:spacing w:before="120"/>
        <w:contextualSpacing/>
        <w:rPr>
          <w:rFonts w:ascii="Arial" w:hAnsi="Arial" w:cs="Arial"/>
          <w:sz w:val="20"/>
          <w:szCs w:val="20"/>
          <w:lang w:val="en-CA"/>
        </w:rPr>
      </w:pPr>
      <w:r w:rsidRPr="009B5BBE">
        <w:rPr>
          <w:rFonts w:ascii="Arial" w:hAnsi="Arial" w:cs="Arial"/>
          <w:sz w:val="20"/>
          <w:szCs w:val="20"/>
          <w:lang w:val="en-CA"/>
        </w:rPr>
        <w:t>Leverage target’s customer data (e.g., anonymized) to analyze retention, growth, margin, average order side (AOS), impact of loyalty program, etc.</w:t>
      </w:r>
    </w:p>
    <w:p w14:paraId="0C916307" w14:textId="3C12753C" w:rsidR="00C50BEA" w:rsidRPr="009B5BBE" w:rsidRDefault="00C50BEA" w:rsidP="00C50BEA">
      <w:pPr>
        <w:pStyle w:val="ListParagraph"/>
        <w:numPr>
          <w:ilvl w:val="1"/>
          <w:numId w:val="8"/>
        </w:numPr>
        <w:autoSpaceDN w:val="0"/>
        <w:spacing w:before="120"/>
        <w:contextualSpacing/>
        <w:rPr>
          <w:rFonts w:ascii="Arial" w:hAnsi="Arial" w:cs="Arial"/>
          <w:sz w:val="20"/>
          <w:szCs w:val="20"/>
          <w:lang w:val="en-CA"/>
        </w:rPr>
      </w:pPr>
      <w:r w:rsidRPr="009B5BBE">
        <w:rPr>
          <w:rFonts w:ascii="Arial" w:hAnsi="Arial" w:cs="Arial"/>
          <w:sz w:val="20"/>
          <w:szCs w:val="20"/>
          <w:lang w:val="en-CA"/>
        </w:rPr>
        <w:t>Analyze metrics such as order frequency, new customers as a percentage of active customers, etc. to understand the health of the customer base</w:t>
      </w:r>
    </w:p>
    <w:p w14:paraId="3CBE9D33" w14:textId="7AD9AC6E" w:rsidR="00F3649A" w:rsidRDefault="00F3649A" w:rsidP="00C50BEA">
      <w:pPr>
        <w:pStyle w:val="ListParagraph"/>
        <w:numPr>
          <w:ilvl w:val="0"/>
          <w:numId w:val="8"/>
        </w:numPr>
        <w:autoSpaceDN w:val="0"/>
        <w:spacing w:before="120"/>
        <w:contextualSpacing/>
        <w:rPr>
          <w:rFonts w:ascii="Arial" w:hAnsi="Arial" w:cs="Arial"/>
          <w:sz w:val="20"/>
          <w:szCs w:val="20"/>
          <w:lang w:val="en-CA"/>
        </w:rPr>
      </w:pPr>
      <w:r>
        <w:rPr>
          <w:rFonts w:ascii="Arial" w:hAnsi="Arial" w:cs="Arial"/>
          <w:sz w:val="20"/>
          <w:szCs w:val="20"/>
          <w:lang w:val="en-CA"/>
        </w:rPr>
        <w:t>Understand Target’s central production unit and the current sales it supports</w:t>
      </w:r>
    </w:p>
    <w:p w14:paraId="65FF1C9F" w14:textId="36C19D5C" w:rsidR="00C50BEA" w:rsidRDefault="00C50BEA" w:rsidP="00C50BEA">
      <w:pPr>
        <w:pStyle w:val="ListParagraph"/>
        <w:numPr>
          <w:ilvl w:val="0"/>
          <w:numId w:val="8"/>
        </w:numPr>
        <w:autoSpaceDN w:val="0"/>
        <w:spacing w:before="120"/>
        <w:contextualSpacing/>
        <w:rPr>
          <w:rFonts w:ascii="Arial" w:hAnsi="Arial" w:cs="Arial"/>
          <w:sz w:val="20"/>
          <w:szCs w:val="20"/>
          <w:lang w:val="en-CA"/>
        </w:rPr>
      </w:pPr>
      <w:r w:rsidRPr="009B5BBE">
        <w:rPr>
          <w:rFonts w:ascii="Arial" w:hAnsi="Arial" w:cs="Arial"/>
          <w:sz w:val="20"/>
          <w:szCs w:val="20"/>
          <w:lang w:val="en-CA"/>
        </w:rPr>
        <w:t xml:space="preserve">Develop analysis in both PowerPoint slides / Excel and </w:t>
      </w:r>
      <w:proofErr w:type="spellStart"/>
      <w:r w:rsidRPr="009B5BBE">
        <w:rPr>
          <w:rFonts w:ascii="Arial" w:hAnsi="Arial" w:cs="Arial"/>
          <w:sz w:val="20"/>
          <w:szCs w:val="20"/>
          <w:lang w:val="en-CA"/>
        </w:rPr>
        <w:t>PowerBI</w:t>
      </w:r>
      <w:proofErr w:type="spellEnd"/>
      <w:r w:rsidRPr="009B5BBE">
        <w:rPr>
          <w:rFonts w:ascii="Arial" w:hAnsi="Arial" w:cs="Arial"/>
          <w:sz w:val="20"/>
          <w:szCs w:val="20"/>
          <w:lang w:val="en-CA"/>
        </w:rPr>
        <w:t xml:space="preserve"> – create an interactive dashboard</w:t>
      </w:r>
    </w:p>
    <w:p w14:paraId="5F6E791A" w14:textId="5C62B275" w:rsidR="00864FFA" w:rsidRDefault="00864FFA" w:rsidP="00C50BEA">
      <w:pPr>
        <w:pStyle w:val="ListParagraph"/>
        <w:numPr>
          <w:ilvl w:val="0"/>
          <w:numId w:val="8"/>
        </w:numPr>
        <w:autoSpaceDN w:val="0"/>
        <w:spacing w:before="120"/>
        <w:contextualSpacing/>
        <w:rPr>
          <w:rFonts w:ascii="Arial" w:hAnsi="Arial" w:cs="Arial"/>
          <w:sz w:val="20"/>
          <w:szCs w:val="20"/>
          <w:lang w:val="en-CA"/>
        </w:rPr>
      </w:pPr>
      <w:r w:rsidRPr="00864FFA">
        <w:rPr>
          <w:rFonts w:ascii="Arial" w:hAnsi="Arial" w:cs="Arial"/>
          <w:sz w:val="20"/>
          <w:szCs w:val="20"/>
          <w:lang w:val="en-CA"/>
        </w:rPr>
        <w:t>Obtain and read an analysis of the Target’s selling, general and administration expenses and inquire about</w:t>
      </w:r>
      <w:r>
        <w:rPr>
          <w:rFonts w:ascii="Arial" w:hAnsi="Arial" w:cs="Arial"/>
          <w:sz w:val="20"/>
          <w:szCs w:val="20"/>
          <w:lang w:val="en-CA"/>
        </w:rPr>
        <w:t>:</w:t>
      </w:r>
    </w:p>
    <w:p w14:paraId="632C73C5" w14:textId="77777777" w:rsidR="00864FFA" w:rsidRPr="00864FFA" w:rsidRDefault="00864FFA" w:rsidP="00864FFA">
      <w:pPr>
        <w:pStyle w:val="ListParagraph"/>
        <w:numPr>
          <w:ilvl w:val="1"/>
          <w:numId w:val="8"/>
        </w:numPr>
        <w:autoSpaceDN w:val="0"/>
        <w:spacing w:before="120"/>
        <w:contextualSpacing/>
        <w:rPr>
          <w:rFonts w:ascii="Arial" w:hAnsi="Arial" w:cs="Arial"/>
          <w:sz w:val="20"/>
          <w:szCs w:val="20"/>
          <w:lang w:val="en-CA"/>
        </w:rPr>
      </w:pPr>
      <w:r w:rsidRPr="00864FFA">
        <w:rPr>
          <w:rFonts w:ascii="Arial" w:hAnsi="Arial" w:cs="Arial"/>
          <w:sz w:val="20"/>
          <w:szCs w:val="20"/>
          <w:lang w:val="en-CA"/>
        </w:rPr>
        <w:t>Salaries and wages (including headcount by area and function, if possible);</w:t>
      </w:r>
    </w:p>
    <w:p w14:paraId="3B6240C8" w14:textId="77777777" w:rsidR="00864FFA" w:rsidRPr="00864FFA" w:rsidRDefault="00864FFA" w:rsidP="00864FFA">
      <w:pPr>
        <w:pStyle w:val="ListParagraph"/>
        <w:numPr>
          <w:ilvl w:val="1"/>
          <w:numId w:val="8"/>
        </w:numPr>
        <w:autoSpaceDN w:val="0"/>
        <w:spacing w:before="120"/>
        <w:contextualSpacing/>
        <w:rPr>
          <w:rFonts w:ascii="Arial" w:hAnsi="Arial" w:cs="Arial"/>
          <w:sz w:val="20"/>
          <w:szCs w:val="20"/>
          <w:lang w:val="en-CA"/>
        </w:rPr>
      </w:pPr>
      <w:r w:rsidRPr="00864FFA">
        <w:rPr>
          <w:rFonts w:ascii="Arial" w:hAnsi="Arial" w:cs="Arial"/>
          <w:sz w:val="20"/>
          <w:szCs w:val="20"/>
          <w:lang w:val="en-CA"/>
        </w:rPr>
        <w:t>General and administrative expenses;</w:t>
      </w:r>
    </w:p>
    <w:p w14:paraId="435C07EE" w14:textId="77777777" w:rsidR="00864FFA" w:rsidRPr="00864FFA" w:rsidRDefault="00864FFA" w:rsidP="00864FFA">
      <w:pPr>
        <w:pStyle w:val="ListParagraph"/>
        <w:numPr>
          <w:ilvl w:val="1"/>
          <w:numId w:val="8"/>
        </w:numPr>
        <w:autoSpaceDN w:val="0"/>
        <w:spacing w:before="120"/>
        <w:contextualSpacing/>
        <w:rPr>
          <w:rFonts w:ascii="Arial" w:hAnsi="Arial" w:cs="Arial"/>
          <w:sz w:val="20"/>
          <w:szCs w:val="20"/>
          <w:lang w:val="en-CA"/>
        </w:rPr>
      </w:pPr>
      <w:r w:rsidRPr="00864FFA">
        <w:rPr>
          <w:rFonts w:ascii="Arial" w:hAnsi="Arial" w:cs="Arial"/>
          <w:sz w:val="20"/>
          <w:szCs w:val="20"/>
          <w:lang w:val="en-CA"/>
        </w:rPr>
        <w:t>Information systems expenses;</w:t>
      </w:r>
    </w:p>
    <w:p w14:paraId="3CA9160B" w14:textId="6CBE1C4D" w:rsidR="00864FFA" w:rsidRPr="00864FFA" w:rsidRDefault="00864FFA" w:rsidP="00864FFA">
      <w:pPr>
        <w:pStyle w:val="ListParagraph"/>
        <w:numPr>
          <w:ilvl w:val="1"/>
          <w:numId w:val="8"/>
        </w:numPr>
        <w:autoSpaceDN w:val="0"/>
        <w:spacing w:before="120"/>
        <w:contextualSpacing/>
        <w:rPr>
          <w:rFonts w:ascii="Arial" w:hAnsi="Arial" w:cs="Arial"/>
          <w:sz w:val="20"/>
          <w:szCs w:val="20"/>
          <w:lang w:val="en-CA"/>
        </w:rPr>
      </w:pPr>
      <w:r w:rsidRPr="00864FFA">
        <w:rPr>
          <w:rFonts w:ascii="Arial" w:hAnsi="Arial" w:cs="Arial"/>
          <w:sz w:val="20"/>
          <w:szCs w:val="20"/>
          <w:lang w:val="en-CA"/>
        </w:rPr>
        <w:t>Corporate costs;</w:t>
      </w:r>
    </w:p>
    <w:p w14:paraId="3DBF8301" w14:textId="77777777" w:rsidR="00864FFA" w:rsidRPr="00864FFA" w:rsidRDefault="00864FFA" w:rsidP="00864FFA">
      <w:pPr>
        <w:pStyle w:val="ListParagraph"/>
        <w:numPr>
          <w:ilvl w:val="1"/>
          <w:numId w:val="8"/>
        </w:numPr>
        <w:autoSpaceDN w:val="0"/>
        <w:spacing w:before="120"/>
        <w:contextualSpacing/>
        <w:rPr>
          <w:rFonts w:ascii="Arial" w:hAnsi="Arial" w:cs="Arial"/>
          <w:sz w:val="20"/>
          <w:szCs w:val="20"/>
          <w:lang w:val="en-CA"/>
        </w:rPr>
      </w:pPr>
      <w:r w:rsidRPr="00864FFA">
        <w:rPr>
          <w:rFonts w:ascii="Arial" w:hAnsi="Arial" w:cs="Arial"/>
          <w:sz w:val="20"/>
          <w:szCs w:val="20"/>
          <w:lang w:val="en-CA"/>
        </w:rPr>
        <w:t>Extraordinary expenses;</w:t>
      </w:r>
    </w:p>
    <w:p w14:paraId="7711A37D" w14:textId="77777777" w:rsidR="00864FFA" w:rsidRPr="00864FFA" w:rsidRDefault="00864FFA" w:rsidP="00864FFA">
      <w:pPr>
        <w:pStyle w:val="ListParagraph"/>
        <w:numPr>
          <w:ilvl w:val="1"/>
          <w:numId w:val="8"/>
        </w:numPr>
        <w:autoSpaceDN w:val="0"/>
        <w:spacing w:before="120"/>
        <w:contextualSpacing/>
        <w:rPr>
          <w:rFonts w:ascii="Arial" w:hAnsi="Arial" w:cs="Arial"/>
          <w:sz w:val="20"/>
          <w:szCs w:val="20"/>
          <w:lang w:val="en-CA"/>
        </w:rPr>
      </w:pPr>
      <w:r w:rsidRPr="00864FFA">
        <w:rPr>
          <w:rFonts w:ascii="Arial" w:hAnsi="Arial" w:cs="Arial"/>
          <w:sz w:val="20"/>
          <w:szCs w:val="20"/>
          <w:lang w:val="en-CA"/>
        </w:rPr>
        <w:t>Rent and leases; and</w:t>
      </w:r>
    </w:p>
    <w:p w14:paraId="51651BC7" w14:textId="6A6FE30D" w:rsidR="00864FFA" w:rsidRPr="00F438E2" w:rsidRDefault="00864FFA" w:rsidP="00F438E2">
      <w:pPr>
        <w:pStyle w:val="ListParagraph"/>
        <w:numPr>
          <w:ilvl w:val="1"/>
          <w:numId w:val="8"/>
        </w:numPr>
        <w:autoSpaceDN w:val="0"/>
        <w:spacing w:before="120"/>
        <w:contextualSpacing/>
        <w:rPr>
          <w:rFonts w:ascii="Arial" w:hAnsi="Arial" w:cs="Arial"/>
          <w:sz w:val="20"/>
          <w:szCs w:val="20"/>
          <w:lang w:val="en-CA"/>
        </w:rPr>
      </w:pPr>
      <w:r w:rsidRPr="00864FFA">
        <w:rPr>
          <w:rFonts w:ascii="Arial" w:hAnsi="Arial" w:cs="Arial"/>
          <w:sz w:val="20"/>
          <w:szCs w:val="20"/>
          <w:lang w:val="en-CA"/>
        </w:rPr>
        <w:t>Miscellaneous and other expenses.</w:t>
      </w:r>
    </w:p>
    <w:p w14:paraId="53092150" w14:textId="77777777" w:rsidR="000C1AEC" w:rsidRPr="009B5BBE" w:rsidRDefault="000C1AEC" w:rsidP="000C1AEC">
      <w:pPr>
        <w:pStyle w:val="ListParagraph"/>
        <w:spacing w:before="120"/>
        <w:ind w:left="360"/>
        <w:rPr>
          <w:rFonts w:ascii="Arial" w:hAnsi="Arial" w:cs="Arial"/>
          <w:b/>
          <w:bCs/>
          <w:spacing w:val="-1"/>
          <w:sz w:val="20"/>
          <w:szCs w:val="20"/>
          <w:lang w:val="en-CA"/>
        </w:rPr>
      </w:pPr>
    </w:p>
    <w:p w14:paraId="204FE463" w14:textId="77777777" w:rsidR="000C1AEC" w:rsidRPr="009B5BBE" w:rsidRDefault="000C1AEC" w:rsidP="000C1AEC">
      <w:pPr>
        <w:pStyle w:val="ListParagraph"/>
        <w:numPr>
          <w:ilvl w:val="1"/>
          <w:numId w:val="5"/>
        </w:numPr>
        <w:autoSpaceDN w:val="0"/>
        <w:spacing w:before="120"/>
        <w:ind w:left="360" w:hanging="360"/>
        <w:contextualSpacing/>
        <w:rPr>
          <w:rFonts w:ascii="Arial" w:hAnsi="Arial" w:cs="Arial"/>
          <w:b/>
          <w:bCs/>
          <w:spacing w:val="-1"/>
          <w:sz w:val="20"/>
          <w:szCs w:val="20"/>
          <w:lang w:val="en-CA"/>
        </w:rPr>
      </w:pPr>
      <w:r w:rsidRPr="009B5BBE">
        <w:rPr>
          <w:rFonts w:ascii="Arial" w:hAnsi="Arial" w:cs="Arial"/>
          <w:b/>
          <w:bCs/>
          <w:spacing w:val="-1"/>
          <w:sz w:val="20"/>
          <w:szCs w:val="20"/>
          <w:lang w:val="en-CA"/>
        </w:rPr>
        <w:t>Working capital</w:t>
      </w:r>
    </w:p>
    <w:p w14:paraId="33F97A24" w14:textId="406C7EAC" w:rsidR="000C1AEC" w:rsidRPr="009B5BBE" w:rsidRDefault="000C1AEC" w:rsidP="000C1AEC">
      <w:pPr>
        <w:pStyle w:val="ListParagraph"/>
        <w:spacing w:before="120"/>
        <w:ind w:left="360"/>
        <w:rPr>
          <w:rFonts w:ascii="Arial" w:hAnsi="Arial" w:cs="Arial"/>
          <w:spacing w:val="-1"/>
          <w:sz w:val="20"/>
          <w:szCs w:val="20"/>
          <w:lang w:val="en-CA"/>
        </w:rPr>
      </w:pPr>
      <w:r w:rsidRPr="009B5BBE">
        <w:rPr>
          <w:rFonts w:ascii="Arial" w:hAnsi="Arial" w:cs="Arial"/>
          <w:spacing w:val="-1"/>
          <w:sz w:val="20"/>
          <w:szCs w:val="20"/>
          <w:lang w:val="en-CA"/>
        </w:rPr>
        <w:t>Obtain details of the monthly net working capital and comment on</w:t>
      </w:r>
      <w:r w:rsidR="00317FEB">
        <w:rPr>
          <w:rFonts w:ascii="Arial" w:hAnsi="Arial" w:cs="Arial"/>
          <w:spacing w:val="-1"/>
          <w:sz w:val="20"/>
          <w:szCs w:val="20"/>
          <w:lang w:val="en-CA"/>
        </w:rPr>
        <w:t xml:space="preserve"> the following for Retail, Wholesale, and Corporate Overhead to the extent they can be bifurcated</w:t>
      </w:r>
      <w:r w:rsidRPr="009B5BBE">
        <w:rPr>
          <w:rFonts w:ascii="Arial" w:hAnsi="Arial" w:cs="Arial"/>
          <w:spacing w:val="-1"/>
          <w:sz w:val="20"/>
          <w:szCs w:val="20"/>
          <w:lang w:val="en-CA"/>
        </w:rPr>
        <w:t>:</w:t>
      </w:r>
    </w:p>
    <w:p w14:paraId="04CF7832" w14:textId="77777777" w:rsidR="000C1AEC" w:rsidRPr="009B5BBE" w:rsidRDefault="000C1AEC" w:rsidP="000C1AEC">
      <w:pPr>
        <w:pStyle w:val="ListParagraph"/>
        <w:numPr>
          <w:ilvl w:val="0"/>
          <w:numId w:val="9"/>
        </w:numPr>
        <w:autoSpaceDN w:val="0"/>
        <w:spacing w:before="120"/>
        <w:contextualSpacing/>
        <w:rPr>
          <w:rFonts w:ascii="Arial" w:hAnsi="Arial" w:cs="Arial"/>
          <w:sz w:val="20"/>
          <w:szCs w:val="20"/>
          <w:lang w:val="en-CA"/>
        </w:rPr>
      </w:pPr>
      <w:r w:rsidRPr="009B5BBE">
        <w:rPr>
          <w:rFonts w:ascii="Arial" w:hAnsi="Arial" w:cs="Arial"/>
          <w:sz w:val="20"/>
          <w:szCs w:val="20"/>
          <w:lang w:val="en-CA"/>
        </w:rPr>
        <w:t>The composition of individual working capital accounts (</w:t>
      </w:r>
      <w:proofErr w:type="gramStart"/>
      <w:r w:rsidRPr="009B5BBE">
        <w:rPr>
          <w:rFonts w:ascii="Arial" w:hAnsi="Arial" w:cs="Arial"/>
          <w:sz w:val="20"/>
          <w:szCs w:val="20"/>
          <w:lang w:val="en-CA"/>
        </w:rPr>
        <w:t>e.g.</w:t>
      </w:r>
      <w:proofErr w:type="gramEnd"/>
      <w:r w:rsidRPr="009B5BBE">
        <w:rPr>
          <w:rFonts w:ascii="Arial" w:hAnsi="Arial" w:cs="Arial"/>
          <w:sz w:val="20"/>
          <w:szCs w:val="20"/>
          <w:lang w:val="en-CA"/>
        </w:rPr>
        <w:t xml:space="preserve"> trade receivables, accounts payable and accruals, inventory and inventory provisions, etc.);</w:t>
      </w:r>
    </w:p>
    <w:p w14:paraId="2642C3B9" w14:textId="77777777" w:rsidR="000C1AEC" w:rsidRPr="009B5BBE" w:rsidRDefault="000C1AEC" w:rsidP="000C1AEC">
      <w:pPr>
        <w:pStyle w:val="ListParagraph"/>
        <w:numPr>
          <w:ilvl w:val="0"/>
          <w:numId w:val="9"/>
        </w:numPr>
        <w:autoSpaceDN w:val="0"/>
        <w:spacing w:before="120"/>
        <w:contextualSpacing/>
        <w:rPr>
          <w:rFonts w:ascii="Arial" w:hAnsi="Arial" w:cs="Arial"/>
          <w:sz w:val="20"/>
          <w:szCs w:val="20"/>
          <w:lang w:val="en-CA"/>
        </w:rPr>
      </w:pPr>
      <w:r w:rsidRPr="009B5BBE">
        <w:rPr>
          <w:rFonts w:ascii="Arial" w:hAnsi="Arial" w:cs="Arial"/>
          <w:sz w:val="20"/>
          <w:szCs w:val="20"/>
          <w:lang w:val="en-CA"/>
        </w:rPr>
        <w:t>Monthly working capital trends and impact on reported metrics (</w:t>
      </w:r>
      <w:proofErr w:type="gramStart"/>
      <w:r w:rsidRPr="009B5BBE">
        <w:rPr>
          <w:rFonts w:ascii="Arial" w:hAnsi="Arial" w:cs="Arial"/>
          <w:sz w:val="20"/>
          <w:szCs w:val="20"/>
          <w:lang w:val="en-CA"/>
        </w:rPr>
        <w:t>e.g.</w:t>
      </w:r>
      <w:proofErr w:type="gramEnd"/>
      <w:r w:rsidRPr="009B5BBE">
        <w:rPr>
          <w:rFonts w:ascii="Arial" w:hAnsi="Arial" w:cs="Arial"/>
          <w:sz w:val="20"/>
          <w:szCs w:val="20"/>
          <w:lang w:val="en-CA"/>
        </w:rPr>
        <w:t xml:space="preserve"> days sales outstanding, inventory turns, days payables outstanding, net working capital as a percentage of revenues, etc.);</w:t>
      </w:r>
    </w:p>
    <w:p w14:paraId="6A5B5477" w14:textId="77777777" w:rsidR="000C1AEC" w:rsidRPr="009B5BBE" w:rsidRDefault="000C1AEC" w:rsidP="000C1AEC">
      <w:pPr>
        <w:pStyle w:val="ListParagraph"/>
        <w:numPr>
          <w:ilvl w:val="0"/>
          <w:numId w:val="9"/>
        </w:numPr>
        <w:autoSpaceDN w:val="0"/>
        <w:spacing w:before="120"/>
        <w:contextualSpacing/>
        <w:rPr>
          <w:rFonts w:ascii="Arial" w:hAnsi="Arial" w:cs="Arial"/>
          <w:sz w:val="20"/>
          <w:szCs w:val="20"/>
          <w:lang w:val="en-CA"/>
        </w:rPr>
      </w:pPr>
      <w:r w:rsidRPr="009B5BBE">
        <w:rPr>
          <w:rFonts w:ascii="Arial" w:hAnsi="Arial" w:cs="Arial"/>
          <w:sz w:val="20"/>
          <w:szCs w:val="20"/>
          <w:lang w:val="en-CA"/>
        </w:rPr>
        <w:t xml:space="preserve">Large, unusual, or non-operating items and current or upcoming initiatives that may affect normal working capital trends, (such as accruals for bonuses, capital projects, understanding non-trade balances, etc.); </w:t>
      </w:r>
    </w:p>
    <w:p w14:paraId="4CC44547" w14:textId="77777777" w:rsidR="000C1AEC" w:rsidRPr="009B5BBE" w:rsidRDefault="000C1AEC" w:rsidP="000C1AEC">
      <w:pPr>
        <w:pStyle w:val="ListParagraph"/>
        <w:numPr>
          <w:ilvl w:val="0"/>
          <w:numId w:val="9"/>
        </w:numPr>
        <w:autoSpaceDN w:val="0"/>
        <w:spacing w:before="120"/>
        <w:contextualSpacing/>
        <w:rPr>
          <w:rFonts w:ascii="Arial" w:hAnsi="Arial" w:cs="Arial"/>
          <w:sz w:val="20"/>
          <w:szCs w:val="20"/>
          <w:lang w:val="en-CA"/>
        </w:rPr>
      </w:pPr>
      <w:r w:rsidRPr="009B5BBE">
        <w:rPr>
          <w:rFonts w:ascii="Arial" w:hAnsi="Arial" w:cs="Arial"/>
          <w:sz w:val="20"/>
          <w:szCs w:val="20"/>
          <w:lang w:val="en-CA"/>
        </w:rPr>
        <w:t>Working capital seasonality and implications on cash flow and working capital peg; and</w:t>
      </w:r>
    </w:p>
    <w:p w14:paraId="20A28BC9" w14:textId="77777777" w:rsidR="000C1AEC" w:rsidRPr="009B5BBE" w:rsidRDefault="000C1AEC" w:rsidP="000C1AEC">
      <w:pPr>
        <w:pStyle w:val="ListParagraph"/>
        <w:numPr>
          <w:ilvl w:val="0"/>
          <w:numId w:val="9"/>
        </w:numPr>
        <w:autoSpaceDN w:val="0"/>
        <w:spacing w:before="120"/>
        <w:contextualSpacing/>
        <w:rPr>
          <w:rFonts w:ascii="Arial" w:hAnsi="Arial" w:cs="Arial"/>
          <w:sz w:val="20"/>
          <w:szCs w:val="20"/>
          <w:lang w:val="en-CA"/>
        </w:rPr>
      </w:pPr>
      <w:r w:rsidRPr="009B5BBE">
        <w:rPr>
          <w:rFonts w:ascii="Arial" w:hAnsi="Arial" w:cs="Arial"/>
          <w:sz w:val="20"/>
          <w:szCs w:val="20"/>
          <w:lang w:val="en-CA"/>
        </w:rPr>
        <w:t>Understanding the accounting impact of allowance for uncollectible accounts and write-offs, inventory reserve, reserves for sales returns and allowances, and other accruals requiring judgment.</w:t>
      </w:r>
    </w:p>
    <w:p w14:paraId="626E16D2" w14:textId="77777777" w:rsidR="00FF3D1E" w:rsidRPr="009B5BBE" w:rsidRDefault="00FF3D1E" w:rsidP="00FF3D1E">
      <w:pPr>
        <w:pStyle w:val="ListParagraph"/>
        <w:autoSpaceDN w:val="0"/>
        <w:spacing w:before="120"/>
        <w:ind w:left="360"/>
        <w:contextualSpacing/>
        <w:rPr>
          <w:rFonts w:ascii="Arial" w:hAnsi="Arial" w:cs="Arial"/>
          <w:sz w:val="20"/>
          <w:szCs w:val="20"/>
          <w:lang w:val="en-CA"/>
        </w:rPr>
      </w:pPr>
    </w:p>
    <w:p w14:paraId="2E56CE26" w14:textId="1E658AC9" w:rsidR="00C50BEA" w:rsidRPr="009B5BBE" w:rsidRDefault="00C50BEA" w:rsidP="00C50BEA">
      <w:pPr>
        <w:pStyle w:val="ListParagraph"/>
        <w:numPr>
          <w:ilvl w:val="1"/>
          <w:numId w:val="5"/>
        </w:numPr>
        <w:autoSpaceDN w:val="0"/>
        <w:spacing w:before="120"/>
        <w:ind w:left="360" w:hanging="360"/>
        <w:contextualSpacing/>
        <w:rPr>
          <w:rFonts w:ascii="Arial" w:hAnsi="Arial" w:cs="Arial"/>
          <w:sz w:val="20"/>
          <w:szCs w:val="20"/>
          <w:lang w:val="en-CA"/>
        </w:rPr>
      </w:pPr>
      <w:r w:rsidRPr="009B5BBE">
        <w:rPr>
          <w:rFonts w:ascii="Arial" w:hAnsi="Arial" w:cs="Arial"/>
          <w:b/>
          <w:sz w:val="20"/>
          <w:szCs w:val="20"/>
        </w:rPr>
        <w:t>Net debt and other liabilities</w:t>
      </w:r>
    </w:p>
    <w:p w14:paraId="04B71155" w14:textId="173D5E25" w:rsidR="00317FEB" w:rsidRDefault="00317FEB" w:rsidP="000A3E0E">
      <w:pPr>
        <w:pStyle w:val="2ndLevelBullet"/>
        <w:widowControl/>
        <w:overflowPunct/>
        <w:autoSpaceDE/>
        <w:autoSpaceDN/>
        <w:adjustRightInd/>
        <w:spacing w:after="0" w:line="240" w:lineRule="auto"/>
        <w:ind w:left="720" w:firstLine="0"/>
        <w:textAlignment w:val="auto"/>
        <w:rPr>
          <w:rFonts w:ascii="Arial" w:hAnsi="Arial" w:cs="Arial"/>
        </w:rPr>
      </w:pPr>
      <w:bookmarkStart w:id="1" w:name="_Hlk114663320"/>
      <w:r>
        <w:rPr>
          <w:rFonts w:ascii="Arial" w:hAnsi="Arial" w:cs="Arial"/>
        </w:rPr>
        <w:t>For each of Retail, Wholesale, and Corporate Overhead (to the extent they can be bifurcated):</w:t>
      </w:r>
    </w:p>
    <w:p w14:paraId="532F4DDD" w14:textId="7B22E4F9" w:rsidR="00C50BEA" w:rsidRPr="009B5BBE" w:rsidRDefault="00C50BEA" w:rsidP="00C50BEA">
      <w:pPr>
        <w:pStyle w:val="2ndLevelBullet"/>
        <w:widowControl/>
        <w:numPr>
          <w:ilvl w:val="1"/>
          <w:numId w:val="15"/>
        </w:numPr>
        <w:overflowPunct/>
        <w:autoSpaceDE/>
        <w:autoSpaceDN/>
        <w:adjustRightInd/>
        <w:spacing w:after="0" w:line="240" w:lineRule="auto"/>
        <w:ind w:left="720" w:hanging="270"/>
        <w:textAlignment w:val="auto"/>
        <w:rPr>
          <w:rFonts w:ascii="Arial" w:hAnsi="Arial" w:cs="Arial"/>
        </w:rPr>
      </w:pPr>
      <w:r w:rsidRPr="009B5BBE">
        <w:rPr>
          <w:rFonts w:ascii="Arial" w:hAnsi="Arial" w:cs="Arial"/>
        </w:rPr>
        <w:t>Analyze reported current and non-current debt and other debt-like items on the balance sheet;</w:t>
      </w:r>
      <w:bookmarkEnd w:id="1"/>
    </w:p>
    <w:p w14:paraId="0865F053" w14:textId="6F5C46C5" w:rsidR="00356376" w:rsidRDefault="00356376" w:rsidP="00C50BEA">
      <w:pPr>
        <w:pStyle w:val="2ndLevelBullet"/>
        <w:widowControl/>
        <w:numPr>
          <w:ilvl w:val="1"/>
          <w:numId w:val="15"/>
        </w:numPr>
        <w:overflowPunct/>
        <w:autoSpaceDE/>
        <w:autoSpaceDN/>
        <w:adjustRightInd/>
        <w:spacing w:after="0" w:line="240" w:lineRule="auto"/>
        <w:ind w:left="720" w:hanging="270"/>
        <w:textAlignment w:val="auto"/>
        <w:rPr>
          <w:rFonts w:ascii="Arial" w:hAnsi="Arial" w:cs="Arial"/>
        </w:rPr>
      </w:pPr>
      <w:r w:rsidRPr="00356376">
        <w:rPr>
          <w:rFonts w:ascii="Arial" w:hAnsi="Arial" w:cs="Arial"/>
        </w:rPr>
        <w:t>Consider whether elements of working capital have the nature of and may be reclassified as net debt, and if so, summarize the potential impact of these adjustments on working capital and net debt;</w:t>
      </w:r>
    </w:p>
    <w:p w14:paraId="6F539191" w14:textId="77777777" w:rsidR="00C50BEA" w:rsidRPr="009B5BBE" w:rsidRDefault="00C50BEA" w:rsidP="00C50BEA">
      <w:pPr>
        <w:pStyle w:val="2ndLevelBullet"/>
        <w:widowControl/>
        <w:numPr>
          <w:ilvl w:val="1"/>
          <w:numId w:val="15"/>
        </w:numPr>
        <w:overflowPunct/>
        <w:autoSpaceDE/>
        <w:autoSpaceDN/>
        <w:adjustRightInd/>
        <w:spacing w:after="0" w:line="240" w:lineRule="auto"/>
        <w:ind w:left="720" w:hanging="270"/>
        <w:textAlignment w:val="auto"/>
        <w:rPr>
          <w:rFonts w:ascii="Arial" w:hAnsi="Arial" w:cs="Arial"/>
        </w:rPr>
      </w:pPr>
      <w:bookmarkStart w:id="2" w:name="_Hlk114663354"/>
      <w:r w:rsidRPr="009B5BBE">
        <w:rPr>
          <w:rFonts w:ascii="Arial" w:hAnsi="Arial" w:cs="Arial"/>
        </w:rPr>
        <w:t>Understand whether there are any off-balance sheet liabilities (</w:t>
      </w:r>
      <w:proofErr w:type="gramStart"/>
      <w:r w:rsidRPr="009B5BBE">
        <w:rPr>
          <w:rFonts w:ascii="Arial" w:hAnsi="Arial" w:cs="Arial"/>
        </w:rPr>
        <w:t>e.g.</w:t>
      </w:r>
      <w:proofErr w:type="gramEnd"/>
      <w:r w:rsidRPr="009B5BBE">
        <w:rPr>
          <w:rFonts w:ascii="Arial" w:hAnsi="Arial" w:cs="Arial"/>
        </w:rPr>
        <w:t xml:space="preserve"> incentive plans, legal claims, guarantees, purchase commitments, etc.); and</w:t>
      </w:r>
    </w:p>
    <w:p w14:paraId="6D2DD5F6" w14:textId="37847399" w:rsidR="00C50BEA" w:rsidRPr="009B5BBE" w:rsidRDefault="00C50BEA" w:rsidP="00C50BEA">
      <w:pPr>
        <w:pStyle w:val="2ndLevelBullet"/>
        <w:widowControl/>
        <w:numPr>
          <w:ilvl w:val="1"/>
          <w:numId w:val="15"/>
        </w:numPr>
        <w:overflowPunct/>
        <w:autoSpaceDE/>
        <w:autoSpaceDN/>
        <w:adjustRightInd/>
        <w:spacing w:after="0" w:line="240" w:lineRule="auto"/>
        <w:ind w:left="720" w:hanging="270"/>
        <w:textAlignment w:val="auto"/>
        <w:rPr>
          <w:rFonts w:ascii="Arial" w:hAnsi="Arial" w:cs="Arial"/>
        </w:rPr>
      </w:pPr>
      <w:r w:rsidRPr="009B5BBE">
        <w:rPr>
          <w:rFonts w:ascii="Arial" w:hAnsi="Arial" w:cs="Arial"/>
        </w:rPr>
        <w:t>Other purchase commitments (operating leases) and contingencies (legal matters).</w:t>
      </w:r>
      <w:bookmarkEnd w:id="2"/>
    </w:p>
    <w:p w14:paraId="2F2E6C3A" w14:textId="792C4FC4" w:rsidR="000C1AEC" w:rsidRPr="009B5BBE" w:rsidRDefault="000C1AEC" w:rsidP="000C1AEC">
      <w:pPr>
        <w:pStyle w:val="ListParagraph"/>
        <w:numPr>
          <w:ilvl w:val="1"/>
          <w:numId w:val="5"/>
        </w:numPr>
        <w:autoSpaceDN w:val="0"/>
        <w:spacing w:before="120"/>
        <w:ind w:left="360" w:hanging="360"/>
        <w:contextualSpacing/>
        <w:rPr>
          <w:rFonts w:ascii="Arial" w:hAnsi="Arial" w:cs="Arial"/>
          <w:sz w:val="20"/>
          <w:szCs w:val="20"/>
          <w:lang w:val="en-CA"/>
        </w:rPr>
      </w:pPr>
      <w:r w:rsidRPr="009B5BBE">
        <w:rPr>
          <w:rFonts w:ascii="Arial" w:hAnsi="Arial" w:cs="Arial"/>
          <w:b/>
          <w:bCs/>
          <w:spacing w:val="-1"/>
          <w:sz w:val="20"/>
          <w:szCs w:val="20"/>
          <w:lang w:val="en-CA"/>
        </w:rPr>
        <w:t>Capital expenditures</w:t>
      </w:r>
    </w:p>
    <w:p w14:paraId="22FAAD10" w14:textId="77777777" w:rsidR="000C1AEC" w:rsidRPr="009B5BBE" w:rsidRDefault="000C1AEC" w:rsidP="000C1AEC">
      <w:pPr>
        <w:pStyle w:val="ListParagraph"/>
        <w:spacing w:before="120"/>
        <w:ind w:left="360"/>
        <w:rPr>
          <w:rFonts w:ascii="Arial" w:hAnsi="Arial" w:cs="Arial"/>
          <w:spacing w:val="-1"/>
          <w:sz w:val="20"/>
          <w:szCs w:val="20"/>
          <w:lang w:val="en-CA"/>
        </w:rPr>
      </w:pPr>
      <w:r w:rsidRPr="009B5BBE">
        <w:rPr>
          <w:rFonts w:ascii="Arial" w:hAnsi="Arial" w:cs="Arial"/>
          <w:spacing w:val="-1"/>
          <w:sz w:val="20"/>
          <w:szCs w:val="20"/>
          <w:lang w:val="en-CA"/>
        </w:rPr>
        <w:lastRenderedPageBreak/>
        <w:t>Obtain details of historical capital expenditures, classified as growth and maintenance, by asset category, and comment on:</w:t>
      </w:r>
    </w:p>
    <w:p w14:paraId="326A7C3F" w14:textId="5450B799" w:rsidR="005C2031" w:rsidRDefault="005C2031" w:rsidP="000C1AEC">
      <w:pPr>
        <w:pStyle w:val="ListParagraph"/>
        <w:numPr>
          <w:ilvl w:val="0"/>
          <w:numId w:val="10"/>
        </w:numPr>
        <w:autoSpaceDN w:val="0"/>
        <w:spacing w:before="120"/>
        <w:contextualSpacing/>
        <w:rPr>
          <w:rFonts w:ascii="Arial" w:hAnsi="Arial" w:cs="Arial"/>
          <w:sz w:val="20"/>
          <w:szCs w:val="20"/>
          <w:lang w:val="en-CA"/>
        </w:rPr>
      </w:pPr>
      <w:r>
        <w:rPr>
          <w:rFonts w:ascii="Arial" w:hAnsi="Arial" w:cs="Arial"/>
          <w:sz w:val="20"/>
          <w:szCs w:val="20"/>
          <w:lang w:val="en-CA"/>
        </w:rPr>
        <w:t>Understand Target’s real estate profile including owned</w:t>
      </w:r>
      <w:r w:rsidR="00B21064">
        <w:rPr>
          <w:rFonts w:ascii="Arial" w:hAnsi="Arial" w:cs="Arial"/>
          <w:sz w:val="20"/>
          <w:szCs w:val="20"/>
          <w:lang w:val="en-CA"/>
        </w:rPr>
        <w:t xml:space="preserve"> vs leased</w:t>
      </w:r>
      <w:r>
        <w:rPr>
          <w:rFonts w:ascii="Arial" w:hAnsi="Arial" w:cs="Arial"/>
          <w:sz w:val="20"/>
          <w:szCs w:val="20"/>
          <w:lang w:val="en-CA"/>
        </w:rPr>
        <w:t>;</w:t>
      </w:r>
    </w:p>
    <w:p w14:paraId="05CDF6F0" w14:textId="20E52A0A" w:rsidR="000C1AEC" w:rsidRDefault="000C1AEC" w:rsidP="000C1AEC">
      <w:pPr>
        <w:pStyle w:val="ListParagraph"/>
        <w:numPr>
          <w:ilvl w:val="0"/>
          <w:numId w:val="10"/>
        </w:numPr>
        <w:autoSpaceDN w:val="0"/>
        <w:spacing w:before="120"/>
        <w:contextualSpacing/>
        <w:rPr>
          <w:rFonts w:ascii="Arial" w:hAnsi="Arial" w:cs="Arial"/>
          <w:sz w:val="20"/>
          <w:szCs w:val="20"/>
          <w:lang w:val="en-CA"/>
        </w:rPr>
      </w:pPr>
      <w:r w:rsidRPr="009B5BBE">
        <w:rPr>
          <w:rFonts w:ascii="Arial" w:hAnsi="Arial" w:cs="Arial"/>
          <w:sz w:val="20"/>
          <w:szCs w:val="20"/>
          <w:lang w:val="en-CA"/>
        </w:rPr>
        <w:t>Growth vs. maintenance capital expenditures</w:t>
      </w:r>
      <w:r w:rsidR="0082311C">
        <w:rPr>
          <w:rFonts w:ascii="Arial" w:hAnsi="Arial" w:cs="Arial"/>
          <w:sz w:val="20"/>
          <w:szCs w:val="20"/>
          <w:lang w:val="en-CA"/>
        </w:rPr>
        <w:t xml:space="preserve">, </w:t>
      </w:r>
      <w:proofErr w:type="gramStart"/>
      <w:r w:rsidR="0082311C">
        <w:rPr>
          <w:rFonts w:ascii="Arial" w:hAnsi="Arial" w:cs="Arial"/>
          <w:sz w:val="20"/>
          <w:szCs w:val="20"/>
          <w:lang w:val="en-CA"/>
        </w:rPr>
        <w:t>in particular for</w:t>
      </w:r>
      <w:proofErr w:type="gramEnd"/>
      <w:r w:rsidR="0082311C">
        <w:rPr>
          <w:rFonts w:ascii="Arial" w:hAnsi="Arial" w:cs="Arial"/>
          <w:sz w:val="20"/>
          <w:szCs w:val="20"/>
          <w:lang w:val="en-CA"/>
        </w:rPr>
        <w:t xml:space="preserve"> new store builds, renovations, e-Commerce</w:t>
      </w:r>
      <w:r w:rsidR="00317FEB">
        <w:rPr>
          <w:rFonts w:ascii="Arial" w:hAnsi="Arial" w:cs="Arial"/>
          <w:sz w:val="20"/>
          <w:szCs w:val="20"/>
          <w:lang w:val="en-CA"/>
        </w:rPr>
        <w:t>, IT/Cybersecurity, DCs, and production units</w:t>
      </w:r>
    </w:p>
    <w:p w14:paraId="49870A89" w14:textId="77777777" w:rsidR="000C1AEC" w:rsidRPr="009B5BBE" w:rsidRDefault="000C1AEC" w:rsidP="000C1AEC">
      <w:pPr>
        <w:pStyle w:val="ListParagraph"/>
        <w:numPr>
          <w:ilvl w:val="0"/>
          <w:numId w:val="10"/>
        </w:numPr>
        <w:autoSpaceDN w:val="0"/>
        <w:spacing w:before="120"/>
        <w:contextualSpacing/>
        <w:rPr>
          <w:rFonts w:ascii="Arial" w:hAnsi="Arial" w:cs="Arial"/>
          <w:sz w:val="20"/>
          <w:szCs w:val="20"/>
          <w:lang w:val="en-CA"/>
        </w:rPr>
      </w:pPr>
      <w:r w:rsidRPr="009B5BBE">
        <w:rPr>
          <w:rFonts w:ascii="Arial" w:hAnsi="Arial" w:cs="Arial"/>
          <w:sz w:val="20"/>
          <w:szCs w:val="20"/>
          <w:lang w:val="en-CA"/>
        </w:rPr>
        <w:t>Committed capital expenditures, including recent monthly spending versus budget; and</w:t>
      </w:r>
    </w:p>
    <w:p w14:paraId="5CAC1032" w14:textId="77777777" w:rsidR="000C1AEC" w:rsidRPr="009B5BBE" w:rsidRDefault="000C1AEC" w:rsidP="000C1AEC">
      <w:pPr>
        <w:pStyle w:val="ListParagraph"/>
        <w:numPr>
          <w:ilvl w:val="0"/>
          <w:numId w:val="10"/>
        </w:numPr>
        <w:autoSpaceDN w:val="0"/>
        <w:spacing w:before="120"/>
        <w:contextualSpacing/>
        <w:rPr>
          <w:rFonts w:ascii="Arial" w:hAnsi="Arial" w:cs="Arial"/>
          <w:sz w:val="20"/>
          <w:szCs w:val="20"/>
          <w:lang w:val="en-CA"/>
        </w:rPr>
      </w:pPr>
      <w:r w:rsidRPr="009B5BBE">
        <w:rPr>
          <w:rFonts w:ascii="Arial" w:hAnsi="Arial" w:cs="Arial"/>
          <w:sz w:val="20"/>
          <w:szCs w:val="20"/>
          <w:lang w:val="en-CA"/>
        </w:rPr>
        <w:t>Historical and planned capital expenditures.</w:t>
      </w:r>
    </w:p>
    <w:p w14:paraId="4FF6339E" w14:textId="77777777" w:rsidR="000C1AEC" w:rsidRPr="009B5BBE" w:rsidRDefault="000C1AEC" w:rsidP="000C1AEC">
      <w:pPr>
        <w:pStyle w:val="ListParagraph"/>
        <w:spacing w:before="120"/>
        <w:rPr>
          <w:rFonts w:ascii="Arial" w:hAnsi="Arial" w:cs="Arial"/>
          <w:sz w:val="20"/>
          <w:szCs w:val="20"/>
          <w:lang w:val="en-CA"/>
        </w:rPr>
      </w:pPr>
    </w:p>
    <w:p w14:paraId="33270BFE" w14:textId="37A04BB7" w:rsidR="000C1AEC" w:rsidRPr="009B5BBE" w:rsidRDefault="00864FFA" w:rsidP="000C1AEC">
      <w:pPr>
        <w:pStyle w:val="ListParagraph"/>
        <w:numPr>
          <w:ilvl w:val="1"/>
          <w:numId w:val="5"/>
        </w:numPr>
        <w:autoSpaceDN w:val="0"/>
        <w:spacing w:before="120"/>
        <w:ind w:left="360" w:hanging="360"/>
        <w:contextualSpacing/>
        <w:rPr>
          <w:rFonts w:ascii="Arial" w:hAnsi="Arial" w:cs="Arial"/>
          <w:b/>
          <w:bCs/>
          <w:spacing w:val="-1"/>
          <w:sz w:val="20"/>
          <w:szCs w:val="20"/>
          <w:lang w:val="en-CA"/>
        </w:rPr>
      </w:pPr>
      <w:r>
        <w:rPr>
          <w:rFonts w:ascii="Arial" w:hAnsi="Arial" w:cs="Arial"/>
          <w:b/>
          <w:bCs/>
          <w:spacing w:val="-1"/>
          <w:sz w:val="20"/>
          <w:szCs w:val="20"/>
          <w:lang w:val="en-CA"/>
        </w:rPr>
        <w:t>Audit work papers</w:t>
      </w:r>
    </w:p>
    <w:p w14:paraId="7C03CFB5" w14:textId="2B255A7C" w:rsidR="000C1AEC" w:rsidRPr="003B7B7F" w:rsidRDefault="00864FFA" w:rsidP="003B7B7F">
      <w:pPr>
        <w:autoSpaceDN w:val="0"/>
        <w:spacing w:before="120"/>
        <w:ind w:left="360"/>
        <w:contextualSpacing/>
        <w:rPr>
          <w:rFonts w:ascii="Arial" w:hAnsi="Arial" w:cs="Arial"/>
          <w:sz w:val="20"/>
          <w:szCs w:val="20"/>
          <w:lang w:val="en-CA"/>
        </w:rPr>
      </w:pPr>
      <w:bookmarkStart w:id="3" w:name="_Hlk114663112"/>
      <w:r w:rsidRPr="003B7B7F">
        <w:rPr>
          <w:rFonts w:ascii="Arial" w:hAnsi="Arial" w:cs="Arial"/>
          <w:sz w:val="20"/>
          <w:szCs w:val="20"/>
          <w:lang w:val="en-CA"/>
        </w:rPr>
        <w:t>Access Target’s FY21 audit work papers and identified audit matters including unrecorded audit differences, control matters, and other salient findings.</w:t>
      </w:r>
    </w:p>
    <w:bookmarkEnd w:id="3"/>
    <w:p w14:paraId="39445B0D" w14:textId="77777777" w:rsidR="000C1AEC" w:rsidRPr="009B5BBE" w:rsidRDefault="000C1AEC" w:rsidP="000C1AEC">
      <w:pPr>
        <w:pStyle w:val="ListParagraph"/>
        <w:spacing w:before="120"/>
        <w:rPr>
          <w:rFonts w:ascii="Arial" w:eastAsiaTheme="minorHAnsi" w:hAnsi="Arial" w:cs="Arial"/>
          <w:sz w:val="20"/>
          <w:szCs w:val="20"/>
          <w:lang w:val="en-CA"/>
        </w:rPr>
      </w:pPr>
    </w:p>
    <w:p w14:paraId="0E65C4C9" w14:textId="082DC0DB" w:rsidR="000C1AEC" w:rsidRPr="009B5BBE" w:rsidRDefault="003B7B7F" w:rsidP="000C1AEC">
      <w:pPr>
        <w:pStyle w:val="ListParagraph"/>
        <w:numPr>
          <w:ilvl w:val="1"/>
          <w:numId w:val="5"/>
        </w:numPr>
        <w:autoSpaceDN w:val="0"/>
        <w:spacing w:before="120"/>
        <w:ind w:left="360" w:hanging="360"/>
        <w:contextualSpacing/>
        <w:rPr>
          <w:rFonts w:ascii="Arial" w:hAnsi="Arial" w:cs="Arial"/>
          <w:b/>
          <w:bCs/>
          <w:spacing w:val="-1"/>
          <w:sz w:val="20"/>
          <w:szCs w:val="20"/>
          <w:lang w:val="en-CA"/>
        </w:rPr>
      </w:pPr>
      <w:bookmarkStart w:id="4" w:name="_Hlk114663140"/>
      <w:r>
        <w:rPr>
          <w:rFonts w:ascii="Arial" w:hAnsi="Arial" w:cs="Arial"/>
          <w:b/>
          <w:bCs/>
          <w:spacing w:val="-1"/>
          <w:sz w:val="20"/>
          <w:szCs w:val="20"/>
          <w:lang w:val="en-CA"/>
        </w:rPr>
        <w:t>Assistance with transaction documentation</w:t>
      </w:r>
    </w:p>
    <w:p w14:paraId="65795306" w14:textId="5E4C4EA0" w:rsidR="00020C0C" w:rsidRPr="009B5BBE" w:rsidRDefault="003B7B7F" w:rsidP="00C50BEA">
      <w:pPr>
        <w:ind w:left="360"/>
        <w:rPr>
          <w:rFonts w:ascii="Arial" w:hAnsi="Arial" w:cs="Arial"/>
          <w:sz w:val="20"/>
          <w:szCs w:val="20"/>
        </w:rPr>
      </w:pPr>
      <w:r w:rsidRPr="003B7B7F">
        <w:rPr>
          <w:rFonts w:ascii="Arial" w:hAnsi="Arial" w:cs="Arial"/>
          <w:spacing w:val="-1"/>
          <w:sz w:val="20"/>
          <w:szCs w:val="20"/>
          <w:lang w:val="en-CA"/>
        </w:rPr>
        <w:t>Read relevant asset purchase agreement definitions (</w:t>
      </w:r>
      <w:proofErr w:type="gramStart"/>
      <w:r w:rsidRPr="003B7B7F">
        <w:rPr>
          <w:rFonts w:ascii="Arial" w:hAnsi="Arial" w:cs="Arial"/>
          <w:spacing w:val="-1"/>
          <w:sz w:val="20"/>
          <w:szCs w:val="20"/>
          <w:lang w:val="en-CA"/>
        </w:rPr>
        <w:t>e.g.</w:t>
      </w:r>
      <w:proofErr w:type="gramEnd"/>
      <w:r w:rsidRPr="003B7B7F">
        <w:rPr>
          <w:rFonts w:ascii="Arial" w:hAnsi="Arial" w:cs="Arial"/>
          <w:spacing w:val="-1"/>
          <w:sz w:val="20"/>
          <w:szCs w:val="20"/>
          <w:lang w:val="en-CA"/>
        </w:rPr>
        <w:t xml:space="preserve"> net working capital and debt-like item definitions and adjustment procedures)</w:t>
      </w:r>
      <w:r w:rsidR="00C50BEA" w:rsidRPr="009B5BBE">
        <w:rPr>
          <w:rFonts w:ascii="Arial" w:hAnsi="Arial" w:cs="Arial"/>
          <w:spacing w:val="-1"/>
          <w:sz w:val="20"/>
          <w:szCs w:val="20"/>
          <w:lang w:val="en-CA"/>
        </w:rPr>
        <w:t>.</w:t>
      </w:r>
      <w:bookmarkEnd w:id="4"/>
      <w:bookmarkEnd w:id="0"/>
    </w:p>
    <w:sectPr w:rsidR="00020C0C" w:rsidRPr="009B5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B7EA3"/>
    <w:multiLevelType w:val="hybridMultilevel"/>
    <w:tmpl w:val="AAD64256"/>
    <w:lvl w:ilvl="0" w:tplc="150A62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D7672"/>
    <w:multiLevelType w:val="hybridMultilevel"/>
    <w:tmpl w:val="35F8F64E"/>
    <w:lvl w:ilvl="0" w:tplc="33FCC70C">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47379A2"/>
    <w:multiLevelType w:val="hybridMultilevel"/>
    <w:tmpl w:val="CB8AE45A"/>
    <w:lvl w:ilvl="0" w:tplc="3B1858E6">
      <w:start w:val="1"/>
      <w:numFmt w:val="upperRoman"/>
      <w:lvlText w:val="%1."/>
      <w:lvlJc w:val="left"/>
      <w:pPr>
        <w:ind w:left="779" w:hanging="502"/>
      </w:pPr>
      <w:rPr>
        <w:rFonts w:ascii="Times New Roman" w:eastAsia="Times New Roman" w:hAnsi="Times New Roman" w:cs="Times New Roman" w:hint="default"/>
        <w:b/>
        <w:bCs/>
        <w:sz w:val="22"/>
        <w:szCs w:val="22"/>
      </w:rPr>
    </w:lvl>
    <w:lvl w:ilvl="1" w:tplc="04090019">
      <w:start w:val="1"/>
      <w:numFmt w:val="decimal"/>
      <w:lvlText w:val="%2."/>
      <w:lvlJc w:val="left"/>
      <w:pPr>
        <w:ind w:left="8306" w:hanging="476"/>
      </w:pPr>
      <w:rPr>
        <w:rFonts w:hint="default"/>
        <w:b/>
        <w:bCs/>
        <w:spacing w:val="1"/>
        <w:sz w:val="20"/>
        <w:szCs w:val="20"/>
      </w:rPr>
    </w:lvl>
    <w:lvl w:ilvl="2" w:tplc="1848E82C">
      <w:start w:val="1"/>
      <w:numFmt w:val="bullet"/>
      <w:lvlText w:val=""/>
      <w:lvlJc w:val="left"/>
      <w:pPr>
        <w:ind w:left="1520" w:hanging="360"/>
      </w:pPr>
      <w:rPr>
        <w:rFonts w:ascii="Symbol" w:eastAsia="Symbol" w:hAnsi="Symbol" w:hint="default"/>
        <w:b/>
        <w:bCs/>
        <w:sz w:val="22"/>
        <w:szCs w:val="22"/>
      </w:rPr>
    </w:lvl>
    <w:lvl w:ilvl="3" w:tplc="7A2A1334">
      <w:start w:val="1"/>
      <w:numFmt w:val="bullet"/>
      <w:lvlText w:val="•"/>
      <w:lvlJc w:val="left"/>
      <w:pPr>
        <w:ind w:left="1060" w:hanging="360"/>
      </w:pPr>
    </w:lvl>
    <w:lvl w:ilvl="4" w:tplc="25884D26">
      <w:start w:val="1"/>
      <w:numFmt w:val="bullet"/>
      <w:lvlText w:val="•"/>
      <w:lvlJc w:val="left"/>
      <w:pPr>
        <w:ind w:left="1520" w:hanging="360"/>
      </w:pPr>
    </w:lvl>
    <w:lvl w:ilvl="5" w:tplc="09764540">
      <w:start w:val="1"/>
      <w:numFmt w:val="bullet"/>
      <w:lvlText w:val="•"/>
      <w:lvlJc w:val="left"/>
      <w:pPr>
        <w:ind w:left="1587" w:hanging="360"/>
      </w:pPr>
    </w:lvl>
    <w:lvl w:ilvl="6" w:tplc="3CE69176">
      <w:start w:val="1"/>
      <w:numFmt w:val="bullet"/>
      <w:lvlText w:val="•"/>
      <w:lvlJc w:val="left"/>
      <w:pPr>
        <w:ind w:left="1587" w:hanging="360"/>
      </w:pPr>
    </w:lvl>
    <w:lvl w:ilvl="7" w:tplc="C834F864">
      <w:start w:val="1"/>
      <w:numFmt w:val="bullet"/>
      <w:lvlText w:val="•"/>
      <w:lvlJc w:val="left"/>
      <w:pPr>
        <w:ind w:left="1587" w:hanging="360"/>
      </w:pPr>
    </w:lvl>
    <w:lvl w:ilvl="8" w:tplc="B164F2FA">
      <w:start w:val="1"/>
      <w:numFmt w:val="bullet"/>
      <w:lvlText w:val="•"/>
      <w:lvlJc w:val="left"/>
      <w:pPr>
        <w:ind w:left="1599" w:hanging="360"/>
      </w:pPr>
    </w:lvl>
  </w:abstractNum>
  <w:abstractNum w:abstractNumId="3" w15:restartNumberingAfterBreak="0">
    <w:nsid w:val="2F4D6C85"/>
    <w:multiLevelType w:val="multilevel"/>
    <w:tmpl w:val="0BA2AE88"/>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4" w15:restartNumberingAfterBreak="0">
    <w:nsid w:val="3FA6794A"/>
    <w:multiLevelType w:val="multilevel"/>
    <w:tmpl w:val="FD1A5F80"/>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 w15:restartNumberingAfterBreak="0">
    <w:nsid w:val="42C13432"/>
    <w:multiLevelType w:val="hybridMultilevel"/>
    <w:tmpl w:val="76FAE6D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ADD550C"/>
    <w:multiLevelType w:val="hybridMultilevel"/>
    <w:tmpl w:val="DAF2FFAC"/>
    <w:lvl w:ilvl="0" w:tplc="4D88D4A4">
      <w:start w:val="1"/>
      <w:numFmt w:val="bullet"/>
      <w:lvlText w:val=""/>
      <w:lvlJc w:val="left"/>
      <w:pPr>
        <w:ind w:left="927" w:hanging="360"/>
      </w:pPr>
      <w:rPr>
        <w:rFonts w:ascii="Wingdings" w:hAnsi="Wingdings" w:hint="default"/>
        <w:color w:val="auto"/>
        <w:sz w:val="24"/>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4B4963AE"/>
    <w:multiLevelType w:val="multilevel"/>
    <w:tmpl w:val="C7323C2C"/>
    <w:lvl w:ilvl="0">
      <w:start w:val="1"/>
      <w:numFmt w:val="decimal"/>
      <w:lvlText w:val="%1."/>
      <w:lvlJc w:val="left"/>
      <w:pPr>
        <w:tabs>
          <w:tab w:val="num" w:pos="720"/>
        </w:tabs>
        <w:ind w:left="720" w:hanging="360"/>
      </w:pPr>
      <w:rPr>
        <w:rFonts w:hint="default"/>
        <w:b/>
        <w:i w:val="0"/>
      </w:rPr>
    </w:lvl>
    <w:lvl w:ilvl="1">
      <w:start w:val="1"/>
      <w:numFmt w:val="lowerLetter"/>
      <w:lvlText w:val="%2)"/>
      <w:lvlJc w:val="left"/>
      <w:pPr>
        <w:tabs>
          <w:tab w:val="num" w:pos="1440"/>
        </w:tabs>
        <w:ind w:left="1440" w:hanging="360"/>
      </w:pPr>
      <w:rPr>
        <w:rFonts w:hint="default"/>
        <w:b w:val="0"/>
        <w:i w:val="0"/>
      </w:rPr>
    </w:lvl>
    <w:lvl w:ilvl="2">
      <w:start w:val="29"/>
      <w:numFmt w:val="decimal"/>
      <w:lvlText w:val="%3."/>
      <w:lvlJc w:val="left"/>
      <w:pPr>
        <w:tabs>
          <w:tab w:val="num" w:pos="2340"/>
        </w:tabs>
        <w:ind w:left="2340" w:hanging="360"/>
      </w:pPr>
      <w:rPr>
        <w:rFonts w:hint="default"/>
        <w:b/>
        <w:i w:val="0"/>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4E2243CB"/>
    <w:multiLevelType w:val="multilevel"/>
    <w:tmpl w:val="35F8F64E"/>
    <w:lvl w:ilvl="0">
      <w:start w:val="1"/>
      <w:numFmt w:val="lowerLetter"/>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1F154F3"/>
    <w:multiLevelType w:val="multilevel"/>
    <w:tmpl w:val="35F8F64E"/>
    <w:lvl w:ilvl="0">
      <w:start w:val="1"/>
      <w:numFmt w:val="lowerLetter"/>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2000B46"/>
    <w:multiLevelType w:val="hybridMultilevel"/>
    <w:tmpl w:val="7AAA7316"/>
    <w:lvl w:ilvl="0" w:tplc="C28E5D7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545D3D"/>
    <w:multiLevelType w:val="multilevel"/>
    <w:tmpl w:val="35F8F64E"/>
    <w:lvl w:ilvl="0">
      <w:start w:val="1"/>
      <w:numFmt w:val="lowerLetter"/>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5BD41933"/>
    <w:multiLevelType w:val="multilevel"/>
    <w:tmpl w:val="35F8F64E"/>
    <w:lvl w:ilvl="0">
      <w:start w:val="1"/>
      <w:numFmt w:val="lowerLetter"/>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0BB3AF1"/>
    <w:multiLevelType w:val="hybridMultilevel"/>
    <w:tmpl w:val="055884CC"/>
    <w:lvl w:ilvl="0" w:tplc="97D084B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66743E3"/>
    <w:multiLevelType w:val="singleLevel"/>
    <w:tmpl w:val="04090001"/>
    <w:lvl w:ilvl="0">
      <w:start w:val="1"/>
      <w:numFmt w:val="bullet"/>
      <w:lvlText w:val=""/>
      <w:lvlJc w:val="left"/>
      <w:pPr>
        <w:ind w:left="720" w:hanging="360"/>
      </w:pPr>
      <w:rPr>
        <w:rFonts w:ascii="Symbol" w:hAnsi="Symbol" w:hint="default"/>
        <w:color w:val="auto"/>
        <w:sz w:val="24"/>
      </w:rPr>
    </w:lvl>
  </w:abstractNum>
  <w:abstractNum w:abstractNumId="15" w15:restartNumberingAfterBreak="0">
    <w:nsid w:val="6BD51BFA"/>
    <w:multiLevelType w:val="multilevel"/>
    <w:tmpl w:val="35F8F64E"/>
    <w:lvl w:ilvl="0">
      <w:start w:val="1"/>
      <w:numFmt w:val="lowerLetter"/>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5BB4579"/>
    <w:multiLevelType w:val="multilevel"/>
    <w:tmpl w:val="9E7A5542"/>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7A3E7796"/>
    <w:multiLevelType w:val="singleLevel"/>
    <w:tmpl w:val="04090001"/>
    <w:lvl w:ilvl="0">
      <w:start w:val="1"/>
      <w:numFmt w:val="bullet"/>
      <w:lvlText w:val=""/>
      <w:lvlJc w:val="left"/>
      <w:pPr>
        <w:ind w:left="720" w:hanging="360"/>
      </w:pPr>
      <w:rPr>
        <w:rFonts w:ascii="Symbol" w:hAnsi="Symbol" w:hint="default"/>
        <w:color w:val="auto"/>
        <w:sz w:val="24"/>
      </w:rPr>
    </w:lvl>
  </w:abstractNum>
  <w:abstractNum w:abstractNumId="18" w15:restartNumberingAfterBreak="0">
    <w:nsid w:val="7D0459D7"/>
    <w:multiLevelType w:val="hybridMultilevel"/>
    <w:tmpl w:val="D9808794"/>
    <w:lvl w:ilvl="0" w:tplc="098C7ED6">
      <w:start w:val="1"/>
      <w:numFmt w:val="decimal"/>
      <w:lvlText w:val="%1."/>
      <w:lvlJc w:val="left"/>
      <w:pPr>
        <w:tabs>
          <w:tab w:val="num" w:pos="1080"/>
        </w:tabs>
        <w:ind w:left="1080" w:hanging="720"/>
      </w:pPr>
      <w:rPr>
        <w:rFonts w:hint="default"/>
        <w:b w:val="0"/>
        <w:i w:val="0"/>
      </w:rPr>
    </w:lvl>
    <w:lvl w:ilvl="1" w:tplc="75607DF2">
      <w:start w:val="1"/>
      <w:numFmt w:val="lowerLetter"/>
      <w:lvlText w:val="%2."/>
      <w:lvlJc w:val="left"/>
      <w:pPr>
        <w:ind w:left="1440" w:hanging="360"/>
      </w:pPr>
    </w:lvl>
    <w:lvl w:ilvl="2" w:tplc="24263A2A" w:tentative="1">
      <w:start w:val="1"/>
      <w:numFmt w:val="lowerRoman"/>
      <w:lvlText w:val="%3."/>
      <w:lvlJc w:val="right"/>
      <w:pPr>
        <w:ind w:left="2160" w:hanging="180"/>
      </w:pPr>
    </w:lvl>
    <w:lvl w:ilvl="3" w:tplc="CA28F0A6" w:tentative="1">
      <w:start w:val="1"/>
      <w:numFmt w:val="decimal"/>
      <w:lvlText w:val="%4."/>
      <w:lvlJc w:val="left"/>
      <w:pPr>
        <w:ind w:left="2880" w:hanging="360"/>
      </w:pPr>
    </w:lvl>
    <w:lvl w:ilvl="4" w:tplc="AC90B190" w:tentative="1">
      <w:start w:val="1"/>
      <w:numFmt w:val="lowerLetter"/>
      <w:lvlText w:val="%5."/>
      <w:lvlJc w:val="left"/>
      <w:pPr>
        <w:ind w:left="3600" w:hanging="360"/>
      </w:pPr>
    </w:lvl>
    <w:lvl w:ilvl="5" w:tplc="4E22E620" w:tentative="1">
      <w:start w:val="1"/>
      <w:numFmt w:val="lowerRoman"/>
      <w:lvlText w:val="%6."/>
      <w:lvlJc w:val="right"/>
      <w:pPr>
        <w:ind w:left="4320" w:hanging="180"/>
      </w:pPr>
    </w:lvl>
    <w:lvl w:ilvl="6" w:tplc="FA4CF1DE" w:tentative="1">
      <w:start w:val="1"/>
      <w:numFmt w:val="decimal"/>
      <w:lvlText w:val="%7."/>
      <w:lvlJc w:val="left"/>
      <w:pPr>
        <w:ind w:left="5040" w:hanging="360"/>
      </w:pPr>
    </w:lvl>
    <w:lvl w:ilvl="7" w:tplc="61569432" w:tentative="1">
      <w:start w:val="1"/>
      <w:numFmt w:val="lowerLetter"/>
      <w:lvlText w:val="%8."/>
      <w:lvlJc w:val="left"/>
      <w:pPr>
        <w:ind w:left="5760" w:hanging="360"/>
      </w:pPr>
    </w:lvl>
    <w:lvl w:ilvl="8" w:tplc="B086B8C4" w:tentative="1">
      <w:start w:val="1"/>
      <w:numFmt w:val="lowerRoman"/>
      <w:lvlText w:val="%9."/>
      <w:lvlJc w:val="right"/>
      <w:pPr>
        <w:ind w:left="6480" w:hanging="180"/>
      </w:pPr>
    </w:lvl>
  </w:abstractNum>
  <w:num w:numId="1">
    <w:abstractNumId w:val="6"/>
  </w:num>
  <w:num w:numId="2">
    <w:abstractNumId w:val="0"/>
  </w:num>
  <w:num w:numId="3">
    <w:abstractNumId w:val="10"/>
  </w:num>
  <w:num w:numId="4">
    <w:abstractNumId w:val="5"/>
  </w:num>
  <w:num w:numId="5">
    <w:abstractNumId w:val="2"/>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1"/>
    <w:lvlOverride w:ilvl="0">
      <w:startOverride w:val="1"/>
    </w:lvlOverride>
    <w:lvlOverride w:ilvl="1"/>
    <w:lvlOverride w:ilvl="2"/>
    <w:lvlOverride w:ilvl="3"/>
    <w:lvlOverride w:ilvl="4"/>
    <w:lvlOverride w:ilvl="5"/>
    <w:lvlOverride w:ilvl="6"/>
    <w:lvlOverride w:ilvl="7"/>
    <w:lvlOverride w:ilvl="8"/>
  </w:num>
  <w:num w:numId="7">
    <w:abstractNumId w:val="11"/>
    <w:lvlOverride w:ilvl="0">
      <w:startOverride w:val="1"/>
    </w:lvlOverride>
    <w:lvlOverride w:ilvl="1"/>
    <w:lvlOverride w:ilvl="2"/>
    <w:lvlOverride w:ilvl="3"/>
    <w:lvlOverride w:ilvl="4"/>
    <w:lvlOverride w:ilvl="5"/>
    <w:lvlOverride w:ilvl="6"/>
    <w:lvlOverride w:ilvl="7"/>
    <w:lvlOverride w:ilvl="8"/>
  </w:num>
  <w:num w:numId="8">
    <w:abstractNumId w:val="15"/>
    <w:lvlOverride w:ilvl="0">
      <w:startOverride w:val="1"/>
    </w:lvlOverride>
    <w:lvlOverride w:ilvl="1"/>
    <w:lvlOverride w:ilvl="2"/>
    <w:lvlOverride w:ilvl="3"/>
    <w:lvlOverride w:ilvl="4"/>
    <w:lvlOverride w:ilvl="5"/>
    <w:lvlOverride w:ilvl="6"/>
    <w:lvlOverride w:ilvl="7"/>
    <w:lvlOverride w:ilvl="8"/>
  </w:num>
  <w:num w:numId="9">
    <w:abstractNumId w:val="12"/>
    <w:lvlOverride w:ilvl="0">
      <w:startOverride w:val="1"/>
    </w:lvlOverride>
    <w:lvlOverride w:ilvl="1"/>
    <w:lvlOverride w:ilvl="2"/>
    <w:lvlOverride w:ilvl="3"/>
    <w:lvlOverride w:ilvl="4"/>
    <w:lvlOverride w:ilvl="5"/>
    <w:lvlOverride w:ilvl="6"/>
    <w:lvlOverride w:ilvl="7"/>
    <w:lvlOverride w:ilvl="8"/>
  </w:num>
  <w:num w:numId="10">
    <w:abstractNumId w:val="8"/>
    <w:lvlOverride w:ilvl="0">
      <w:startOverride w:val="1"/>
    </w:lvlOverride>
    <w:lvlOverride w:ilvl="1"/>
    <w:lvlOverride w:ilvl="2"/>
    <w:lvlOverride w:ilvl="3"/>
    <w:lvlOverride w:ilvl="4"/>
    <w:lvlOverride w:ilvl="5"/>
    <w:lvlOverride w:ilvl="6"/>
    <w:lvlOverride w:ilvl="7"/>
    <w:lvlOverride w:ilvl="8"/>
  </w:num>
  <w:num w:numId="11">
    <w:abstractNumId w:val="9"/>
    <w:lvlOverride w:ilvl="0">
      <w:startOverride w:val="1"/>
    </w:lvlOverride>
    <w:lvlOverride w:ilvl="1"/>
    <w:lvlOverride w:ilvl="2"/>
    <w:lvlOverride w:ilvl="3"/>
    <w:lvlOverride w:ilvl="4"/>
    <w:lvlOverride w:ilvl="5"/>
    <w:lvlOverride w:ilvl="6"/>
    <w:lvlOverride w:ilvl="7"/>
    <w:lvlOverride w:ilvl="8"/>
  </w:num>
  <w:num w:numId="12">
    <w:abstractNumId w:val="2"/>
  </w:num>
  <w:num w:numId="13">
    <w:abstractNumId w:val="4"/>
  </w:num>
  <w:num w:numId="14">
    <w:abstractNumId w:val="18"/>
  </w:num>
  <w:num w:numId="15">
    <w:abstractNumId w:val="7"/>
  </w:num>
  <w:num w:numId="16">
    <w:abstractNumId w:val="3"/>
  </w:num>
  <w:num w:numId="17">
    <w:abstractNumId w:val="13"/>
  </w:num>
  <w:num w:numId="18">
    <w:abstractNumId w:val="17"/>
  </w:num>
  <w:num w:numId="19">
    <w:abstractNumId w:val="14"/>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4A3"/>
    <w:rsid w:val="000117BC"/>
    <w:rsid w:val="00020C0C"/>
    <w:rsid w:val="0006331C"/>
    <w:rsid w:val="0008326D"/>
    <w:rsid w:val="00090B2B"/>
    <w:rsid w:val="000A3E0E"/>
    <w:rsid w:val="000C1AEC"/>
    <w:rsid w:val="00126582"/>
    <w:rsid w:val="00137003"/>
    <w:rsid w:val="00151E64"/>
    <w:rsid w:val="00153C9B"/>
    <w:rsid w:val="001C0C61"/>
    <w:rsid w:val="001D52CB"/>
    <w:rsid w:val="001D608F"/>
    <w:rsid w:val="001F36A3"/>
    <w:rsid w:val="002005CE"/>
    <w:rsid w:val="00317FEB"/>
    <w:rsid w:val="00356376"/>
    <w:rsid w:val="003A5556"/>
    <w:rsid w:val="003B7B7F"/>
    <w:rsid w:val="00406C8A"/>
    <w:rsid w:val="00592294"/>
    <w:rsid w:val="005937FF"/>
    <w:rsid w:val="005C14A3"/>
    <w:rsid w:val="005C2031"/>
    <w:rsid w:val="005F0D9B"/>
    <w:rsid w:val="006345B6"/>
    <w:rsid w:val="00657911"/>
    <w:rsid w:val="00665661"/>
    <w:rsid w:val="006B5D58"/>
    <w:rsid w:val="006F40C9"/>
    <w:rsid w:val="0070652A"/>
    <w:rsid w:val="00725CC3"/>
    <w:rsid w:val="00731251"/>
    <w:rsid w:val="00790DB2"/>
    <w:rsid w:val="007B6DF7"/>
    <w:rsid w:val="007D1E4B"/>
    <w:rsid w:val="008068AD"/>
    <w:rsid w:val="00816772"/>
    <w:rsid w:val="0082311C"/>
    <w:rsid w:val="00864FFA"/>
    <w:rsid w:val="00872B98"/>
    <w:rsid w:val="008A3491"/>
    <w:rsid w:val="008F0E99"/>
    <w:rsid w:val="0096150C"/>
    <w:rsid w:val="009870F6"/>
    <w:rsid w:val="009B5BBE"/>
    <w:rsid w:val="009E5A6A"/>
    <w:rsid w:val="00A34C5E"/>
    <w:rsid w:val="00A51CA6"/>
    <w:rsid w:val="00A62E0D"/>
    <w:rsid w:val="00A66374"/>
    <w:rsid w:val="00A854D5"/>
    <w:rsid w:val="00AA64B8"/>
    <w:rsid w:val="00AC19E6"/>
    <w:rsid w:val="00AC750D"/>
    <w:rsid w:val="00AE385C"/>
    <w:rsid w:val="00B21064"/>
    <w:rsid w:val="00B85FA2"/>
    <w:rsid w:val="00C03A26"/>
    <w:rsid w:val="00C31011"/>
    <w:rsid w:val="00C50BEA"/>
    <w:rsid w:val="00CD3E67"/>
    <w:rsid w:val="00DF711B"/>
    <w:rsid w:val="00EE40BE"/>
    <w:rsid w:val="00F3649A"/>
    <w:rsid w:val="00F438E2"/>
    <w:rsid w:val="00FF2F5C"/>
    <w:rsid w:val="00FF3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09ECD"/>
  <w15:chartTrackingRefBased/>
  <w15:docId w15:val="{D4CAA88F-0DFE-42F1-81C6-DFF7D6542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4A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tterBody">
    <w:name w:val="Letter Body"/>
    <w:aliases w:val="b,Memo Body,Body text,BD,b-heading 1/heading 2,bd,heading1body-heading2body,b-heading,b14,Body,Bod,Fax Body,bo,body text,Report Body,full cell text,by,OpinBody,Proposal Body,memo body,body1,b-heading 1,B,bullets,Memo Table Heading,Text,t,z"/>
    <w:basedOn w:val="Normal"/>
    <w:qFormat/>
    <w:rsid w:val="005C14A3"/>
    <w:pPr>
      <w:overflowPunct w:val="0"/>
      <w:autoSpaceDE w:val="0"/>
      <w:autoSpaceDN w:val="0"/>
      <w:adjustRightInd w:val="0"/>
      <w:spacing w:after="240"/>
      <w:textAlignment w:val="baseline"/>
    </w:pPr>
    <w:rPr>
      <w:rFonts w:ascii="Arial" w:hAnsi="Arial" w:cs="Arial"/>
      <w:sz w:val="20"/>
      <w:szCs w:val="20"/>
    </w:rPr>
  </w:style>
  <w:style w:type="paragraph" w:styleId="ListParagraph">
    <w:name w:val="List Paragraph"/>
    <w:basedOn w:val="Normal"/>
    <w:link w:val="ListParagraphChar"/>
    <w:uiPriority w:val="34"/>
    <w:qFormat/>
    <w:rsid w:val="005C14A3"/>
    <w:pPr>
      <w:ind w:left="720"/>
    </w:pPr>
  </w:style>
  <w:style w:type="character" w:customStyle="1" w:styleId="ListParagraphChar">
    <w:name w:val="List Paragraph Char"/>
    <w:basedOn w:val="DefaultParagraphFont"/>
    <w:link w:val="ListParagraph"/>
    <w:uiPriority w:val="34"/>
    <w:rsid w:val="000C1AEC"/>
    <w:rPr>
      <w:rFonts w:ascii="Times New Roman" w:eastAsia="Times New Roman" w:hAnsi="Times New Roman" w:cs="Times New Roman"/>
      <w:sz w:val="24"/>
      <w:szCs w:val="24"/>
    </w:rPr>
  </w:style>
  <w:style w:type="paragraph" w:customStyle="1" w:styleId="Bulletfornos">
    <w:name w:val="Bullet for no #'s"/>
    <w:aliases w:val="b1,Bullet 1"/>
    <w:basedOn w:val="Normal"/>
    <w:uiPriority w:val="99"/>
    <w:rsid w:val="00FF3D1E"/>
    <w:pPr>
      <w:overflowPunct w:val="0"/>
      <w:autoSpaceDE w:val="0"/>
      <w:autoSpaceDN w:val="0"/>
      <w:adjustRightInd w:val="0"/>
      <w:spacing w:before="120" w:line="260" w:lineRule="atLeast"/>
      <w:ind w:left="360" w:hanging="360"/>
      <w:textAlignment w:val="baseline"/>
    </w:pPr>
    <w:rPr>
      <w:sz w:val="22"/>
      <w:szCs w:val="20"/>
    </w:rPr>
  </w:style>
  <w:style w:type="paragraph" w:customStyle="1" w:styleId="2ndLevelBullet">
    <w:name w:val="2nd Level Bullet"/>
    <w:basedOn w:val="Normal"/>
    <w:uiPriority w:val="99"/>
    <w:rsid w:val="00FF3D1E"/>
    <w:pPr>
      <w:widowControl w:val="0"/>
      <w:overflowPunct w:val="0"/>
      <w:autoSpaceDE w:val="0"/>
      <w:autoSpaceDN w:val="0"/>
      <w:adjustRightInd w:val="0"/>
      <w:spacing w:after="240" w:line="200" w:lineRule="exact"/>
      <w:ind w:left="1200" w:hanging="600"/>
      <w:jc w:val="both"/>
      <w:textAlignment w:val="baseline"/>
    </w:pPr>
    <w:rPr>
      <w:rFonts w:ascii="Helvetica" w:hAnsi="Helvetica"/>
      <w:sz w:val="20"/>
      <w:szCs w:val="20"/>
    </w:rPr>
  </w:style>
  <w:style w:type="character" w:customStyle="1" w:styleId="LetterBodyChar">
    <w:name w:val="Letter Body Char"/>
    <w:aliases w:val="b Char,Memo Body Char,Fax Body Char,Body Text Char,b-heading 1/heading 2 Char,heading1body-heading2body Char,bd Char,b14 Char,body Char,BD Char,Body Char,Body text Char,Text Char"/>
    <w:basedOn w:val="DefaultParagraphFont"/>
    <w:locked/>
    <w:rsid w:val="00AA64B8"/>
  </w:style>
  <w:style w:type="paragraph" w:customStyle="1" w:styleId="Bulletwiths">
    <w:name w:val="Bullet with #'s"/>
    <w:aliases w:val="b2,Bullet 2"/>
    <w:basedOn w:val="Normal"/>
    <w:rsid w:val="00356376"/>
    <w:pPr>
      <w:overflowPunct w:val="0"/>
      <w:autoSpaceDE w:val="0"/>
      <w:autoSpaceDN w:val="0"/>
      <w:adjustRightInd w:val="0"/>
      <w:spacing w:before="120" w:line="260" w:lineRule="atLeast"/>
      <w:ind w:left="1080" w:hanging="360"/>
      <w:textAlignment w:val="baseline"/>
    </w:pPr>
    <w:rPr>
      <w:sz w:val="22"/>
      <w:szCs w:val="20"/>
    </w:rPr>
  </w:style>
  <w:style w:type="paragraph" w:styleId="Revision">
    <w:name w:val="Revision"/>
    <w:hidden/>
    <w:uiPriority w:val="99"/>
    <w:semiHidden/>
    <w:rsid w:val="006B5D58"/>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976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3" ma:contentTypeDescription="Create a new document." ma:contentTypeScope="" ma:versionID="f9426ad8c87f32d94124eb41c2991a46">
  <xsd:schema xmlns:xsd="http://www.w3.org/2001/XMLSchema" xmlns:xs="http://www.w3.org/2001/XMLSchema" xmlns:p="http://schemas.microsoft.com/office/2006/metadata/properties" xmlns:ns2="30996f19-b754-4f90-98d6-c022be1420b3" targetNamespace="http://schemas.microsoft.com/office/2006/metadata/properties" ma:root="true" ma:fieldsID="103252a7ac052cb6c5277c0c0d21d806" ns2:_="">
    <xsd:import namespace="30996f19-b754-4f90-98d6-c022be1420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539B6A-3198-4399-85DF-D6DC309F0CDC}">
  <ds:schemaRefs>
    <ds:schemaRef ds:uri="http://schemas.microsoft.com/sharepoint/v3/contenttype/forms"/>
  </ds:schemaRefs>
</ds:datastoreItem>
</file>

<file path=customXml/itemProps2.xml><?xml version="1.0" encoding="utf-8"?>
<ds:datastoreItem xmlns:ds="http://schemas.openxmlformats.org/officeDocument/2006/customXml" ds:itemID="{82986348-7539-49CB-B420-3356EC98B531}"/>
</file>

<file path=customXml/itemProps3.xml><?xml version="1.0" encoding="utf-8"?>
<ds:datastoreItem xmlns:ds="http://schemas.openxmlformats.org/officeDocument/2006/customXml" ds:itemID="{11915584-44F9-4372-8B67-2B4C6CC92EFA}"/>
</file>

<file path=docProps/app.xml><?xml version="1.0" encoding="utf-8"?>
<Properties xmlns="http://schemas.openxmlformats.org/officeDocument/2006/extended-properties" xmlns:vt="http://schemas.openxmlformats.org/officeDocument/2006/docPropsVTypes">
  <Template>Normal</Template>
  <TotalTime>596</TotalTime>
  <Pages>3</Pages>
  <Words>1040</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Michael</dc:creator>
  <cp:keywords/>
  <dc:description/>
  <cp:lastModifiedBy>Chan, Eddie</cp:lastModifiedBy>
  <cp:revision>33</cp:revision>
  <dcterms:created xsi:type="dcterms:W3CDTF">2022-09-21T19:11:00Z</dcterms:created>
  <dcterms:modified xsi:type="dcterms:W3CDTF">2022-09-27T19:44:00Z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16f669-0f84-4927-9912-f58621dd5ede_Enabled">
    <vt:lpwstr>true</vt:lpwstr>
  </property>
  <property fmtid="{D5CDD505-2E9C-101B-9397-08002B2CF9AE}" pid="3" name="MSIP_Label_fe16f669-0f84-4927-9912-f58621dd5ede_SetDate">
    <vt:lpwstr>2022-09-22T13:29:52Z</vt:lpwstr>
  </property>
  <property fmtid="{D5CDD505-2E9C-101B-9397-08002B2CF9AE}" pid="4" name="MSIP_Label_fe16f669-0f84-4927-9912-f58621dd5ede_Method">
    <vt:lpwstr>Privileged</vt:lpwstr>
  </property>
  <property fmtid="{D5CDD505-2E9C-101B-9397-08002B2CF9AE}" pid="5" name="MSIP_Label_fe16f669-0f84-4927-9912-f58621dd5ede_Name">
    <vt:lpwstr>GWL - Confidential</vt:lpwstr>
  </property>
  <property fmtid="{D5CDD505-2E9C-101B-9397-08002B2CF9AE}" pid="6" name="MSIP_Label_fe16f669-0f84-4927-9912-f58621dd5ede_SiteId">
    <vt:lpwstr>eaa6cb52-58d7-45cd-8bd6-b1d2a8e61312</vt:lpwstr>
  </property>
  <property fmtid="{D5CDD505-2E9C-101B-9397-08002B2CF9AE}" pid="7" name="MSIP_Label_fe16f669-0f84-4927-9912-f58621dd5ede_ActionId">
    <vt:lpwstr>b179aa6d-9a40-410d-ac52-7798edb4d8f8</vt:lpwstr>
  </property>
  <property fmtid="{D5CDD505-2E9C-101B-9397-08002B2CF9AE}" pid="8" name="MSIP_Label_fe16f669-0f84-4927-9912-f58621dd5ede_ContentBits">
    <vt:lpwstr>0</vt:lpwstr>
  </property>
  <property fmtid="{D5CDD505-2E9C-101B-9397-08002B2CF9AE}" pid="9" name="ContentTypeId">
    <vt:lpwstr>0x010100B50ACECE49572E49B9E2B6EEF15646F3</vt:lpwstr>
  </property>
</Properties>
</file>