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BB8C9" w14:textId="77777777" w:rsidR="00436046" w:rsidRPr="00504485" w:rsidRDefault="00436046" w:rsidP="00436046">
      <w:pPr>
        <w:keepNext/>
        <w:widowControl/>
        <w:autoSpaceDE/>
        <w:autoSpaceDN/>
        <w:spacing w:before="120" w:after="120"/>
        <w:ind w:right="150"/>
        <w:rPr>
          <w:rFonts w:eastAsia="Times New Roman"/>
          <w:b/>
          <w:bCs/>
          <w:iCs/>
          <w:sz w:val="20"/>
          <w:szCs w:val="20"/>
          <w:u w:val="single"/>
          <w:lang w:val="en-CA"/>
        </w:rPr>
      </w:pPr>
      <w:bookmarkStart w:id="0" w:name="OLE_LINK3"/>
      <w:r w:rsidRPr="00504485">
        <w:rPr>
          <w:rFonts w:eastAsia="Times New Roman"/>
          <w:b/>
          <w:bCs/>
          <w:iCs/>
          <w:sz w:val="20"/>
          <w:szCs w:val="20"/>
          <w:u w:val="single"/>
          <w:lang w:val="en-CA"/>
        </w:rPr>
        <w:t>FINANCIAL DUE DILIGENCE</w:t>
      </w:r>
    </w:p>
    <w:p w14:paraId="68BCE4CA" w14:textId="77777777" w:rsidR="00436046" w:rsidRPr="00504485" w:rsidRDefault="00436046" w:rsidP="00436046">
      <w:pPr>
        <w:pStyle w:val="ListParagraph"/>
        <w:ind w:left="0"/>
        <w:rPr>
          <w:rFonts w:eastAsia="Times New Roman"/>
          <w:bCs/>
          <w:i/>
          <w:iCs/>
          <w:sz w:val="20"/>
          <w:szCs w:val="20"/>
        </w:rPr>
      </w:pPr>
      <w:bookmarkStart w:id="1" w:name="OLE_LINK2"/>
      <w:bookmarkEnd w:id="0"/>
    </w:p>
    <w:p w14:paraId="31A1F745" w14:textId="1A0FC26D" w:rsidR="00436046" w:rsidRPr="00504485" w:rsidRDefault="00436046" w:rsidP="00436046">
      <w:pPr>
        <w:pStyle w:val="ListParagraph"/>
        <w:ind w:left="0"/>
        <w:rPr>
          <w:rFonts w:eastAsia="Times New Roman"/>
          <w:bCs/>
          <w:i/>
          <w:iCs/>
          <w:sz w:val="20"/>
          <w:szCs w:val="20"/>
        </w:rPr>
      </w:pPr>
      <w:r w:rsidRPr="00504485">
        <w:rPr>
          <w:rFonts w:eastAsia="Times New Roman"/>
          <w:bCs/>
          <w:i/>
          <w:iCs/>
          <w:sz w:val="20"/>
          <w:szCs w:val="20"/>
        </w:rPr>
        <w:t xml:space="preserve">Unless otherwise noted, our work will concentrate on the historical financial information of the last two fiscal years </w:t>
      </w:r>
      <w:r w:rsidR="00377CEE">
        <w:rPr>
          <w:rFonts w:eastAsia="Times New Roman"/>
          <w:bCs/>
          <w:i/>
          <w:iCs/>
          <w:sz w:val="20"/>
          <w:szCs w:val="20"/>
        </w:rPr>
        <w:t xml:space="preserve">ended December 31, 2023 </w:t>
      </w:r>
      <w:r w:rsidRPr="00504485">
        <w:rPr>
          <w:rFonts w:eastAsia="Times New Roman"/>
          <w:bCs/>
          <w:i/>
          <w:iCs/>
          <w:sz w:val="20"/>
          <w:szCs w:val="20"/>
        </w:rPr>
        <w:t>(“FY23”</w:t>
      </w:r>
      <w:r w:rsidR="00377CEE">
        <w:rPr>
          <w:rFonts w:eastAsia="Times New Roman"/>
          <w:bCs/>
          <w:i/>
          <w:iCs/>
          <w:sz w:val="20"/>
          <w:szCs w:val="20"/>
        </w:rPr>
        <w:t>),</w:t>
      </w:r>
      <w:r w:rsidRPr="00504485">
        <w:rPr>
          <w:rFonts w:eastAsia="Times New Roman"/>
          <w:bCs/>
          <w:i/>
          <w:iCs/>
          <w:sz w:val="20"/>
          <w:szCs w:val="20"/>
        </w:rPr>
        <w:t xml:space="preserve"> </w:t>
      </w:r>
      <w:r w:rsidR="00377CEE">
        <w:rPr>
          <w:rFonts w:eastAsia="Times New Roman"/>
          <w:bCs/>
          <w:i/>
          <w:iCs/>
          <w:sz w:val="20"/>
          <w:szCs w:val="20"/>
        </w:rPr>
        <w:t>December 31, 2024 (</w:t>
      </w:r>
      <w:r w:rsidRPr="00504485">
        <w:rPr>
          <w:rFonts w:eastAsia="Times New Roman"/>
          <w:bCs/>
          <w:i/>
          <w:iCs/>
          <w:sz w:val="20"/>
          <w:szCs w:val="20"/>
        </w:rPr>
        <w:t>“FY24”) and the most recent available year-to-date financial information for 2025 (“YTD25”) for Hand Over Hand</w:t>
      </w:r>
      <w:r w:rsidR="001131A9">
        <w:rPr>
          <w:rFonts w:eastAsia="Times New Roman"/>
          <w:bCs/>
          <w:i/>
          <w:iCs/>
          <w:sz w:val="20"/>
          <w:szCs w:val="20"/>
        </w:rPr>
        <w:t>,</w:t>
      </w:r>
      <w:r w:rsidRPr="00504485">
        <w:rPr>
          <w:rFonts w:eastAsia="Times New Roman"/>
          <w:bCs/>
          <w:i/>
          <w:iCs/>
          <w:sz w:val="20"/>
          <w:szCs w:val="20"/>
        </w:rPr>
        <w:t xml:space="preserve"> LLC (“Target”).</w:t>
      </w:r>
    </w:p>
    <w:p w14:paraId="2D97DC66" w14:textId="77777777" w:rsidR="00436046" w:rsidRPr="00504485" w:rsidRDefault="00436046" w:rsidP="00436046">
      <w:pPr>
        <w:pStyle w:val="ListParagraph"/>
        <w:rPr>
          <w:rFonts w:eastAsia="Times New Roman"/>
          <w:bCs/>
          <w:sz w:val="20"/>
          <w:szCs w:val="20"/>
        </w:rPr>
      </w:pPr>
    </w:p>
    <w:p w14:paraId="35EEEFB9" w14:textId="77777777" w:rsidR="00436046" w:rsidRDefault="00436046" w:rsidP="00436046">
      <w:pPr>
        <w:pStyle w:val="Bulletfornos"/>
        <w:numPr>
          <w:ilvl w:val="0"/>
          <w:numId w:val="2"/>
        </w:numPr>
        <w:tabs>
          <w:tab w:val="clear" w:pos="340"/>
        </w:tabs>
        <w:spacing w:before="0"/>
        <w:rPr>
          <w:rFonts w:ascii="Arial" w:hAnsi="Arial" w:cs="Arial"/>
          <w:b/>
          <w:sz w:val="20"/>
        </w:rPr>
      </w:pPr>
      <w:r>
        <w:rPr>
          <w:rFonts w:ascii="Arial" w:hAnsi="Arial" w:cs="Arial"/>
          <w:b/>
          <w:sz w:val="20"/>
        </w:rPr>
        <w:t>Business overview</w:t>
      </w:r>
    </w:p>
    <w:p w14:paraId="2A6F6EAA" w14:textId="77777777" w:rsidR="00436046" w:rsidRPr="00504485" w:rsidRDefault="00436046" w:rsidP="00436046">
      <w:pPr>
        <w:pStyle w:val="ListParagraph"/>
        <w:spacing w:before="120"/>
        <w:ind w:left="346"/>
        <w:rPr>
          <w:rFonts w:eastAsia="Times New Roman"/>
          <w:bCs/>
          <w:iCs/>
          <w:sz w:val="20"/>
          <w:szCs w:val="20"/>
        </w:rPr>
      </w:pPr>
      <w:r w:rsidRPr="00504485">
        <w:rPr>
          <w:rFonts w:eastAsia="Times New Roman"/>
          <w:bCs/>
          <w:sz w:val="20"/>
          <w:szCs w:val="20"/>
        </w:rPr>
        <w:t>Meet with Target’s officers and management to obtain background information about Target, including its</w:t>
      </w:r>
      <w:r w:rsidRPr="00504485">
        <w:rPr>
          <w:rFonts w:eastAsia="Times New Roman"/>
          <w:bCs/>
          <w:iCs/>
          <w:sz w:val="20"/>
          <w:szCs w:val="20"/>
        </w:rPr>
        <w:t>:</w:t>
      </w:r>
    </w:p>
    <w:p w14:paraId="0FF53D29"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History;</w:t>
      </w:r>
    </w:p>
    <w:p w14:paraId="4E3819B9"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Organizational structure and management reporting relationships;</w:t>
      </w:r>
    </w:p>
    <w:p w14:paraId="593FA127"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Services offered;</w:t>
      </w:r>
    </w:p>
    <w:p w14:paraId="791631ED"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Trends in payor mix;</w:t>
      </w:r>
    </w:p>
    <w:p w14:paraId="63864C5A"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De novo expansion;</w:t>
      </w:r>
    </w:p>
    <w:p w14:paraId="322C1142"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Financing arrangements with patients, if applicable;</w:t>
      </w:r>
    </w:p>
    <w:p w14:paraId="5F9ECE6B"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Business risks and opportunities; and</w:t>
      </w:r>
    </w:p>
    <w:p w14:paraId="6A61B69C" w14:textId="77777777" w:rsidR="00436046" w:rsidRPr="00504485" w:rsidRDefault="00436046" w:rsidP="00436046">
      <w:pPr>
        <w:pStyle w:val="ListParagraph"/>
        <w:numPr>
          <w:ilvl w:val="0"/>
          <w:numId w:val="6"/>
        </w:numPr>
        <w:contextualSpacing w:val="0"/>
        <w:jc w:val="both"/>
        <w:rPr>
          <w:rFonts w:eastAsia="Times New Roman"/>
          <w:bCs/>
          <w:iCs/>
          <w:sz w:val="20"/>
          <w:szCs w:val="20"/>
        </w:rPr>
      </w:pPr>
      <w:r w:rsidRPr="00504485">
        <w:rPr>
          <w:rFonts w:eastAsia="Times New Roman"/>
          <w:bCs/>
          <w:iCs/>
          <w:sz w:val="20"/>
          <w:szCs w:val="20"/>
        </w:rPr>
        <w:t>Information systems.</w:t>
      </w:r>
    </w:p>
    <w:p w14:paraId="41A77369" w14:textId="77777777" w:rsidR="00436046" w:rsidRPr="00504485" w:rsidRDefault="00436046" w:rsidP="00436046">
      <w:pPr>
        <w:pStyle w:val="ListParagraph"/>
        <w:rPr>
          <w:rFonts w:eastAsia="Times New Roman"/>
          <w:bCs/>
          <w:sz w:val="20"/>
          <w:szCs w:val="20"/>
        </w:rPr>
      </w:pPr>
    </w:p>
    <w:p w14:paraId="50035CD5" w14:textId="77777777" w:rsidR="00436046" w:rsidRDefault="00436046" w:rsidP="00436046">
      <w:pPr>
        <w:pStyle w:val="Bulletfornos"/>
        <w:numPr>
          <w:ilvl w:val="0"/>
          <w:numId w:val="2"/>
        </w:numPr>
        <w:tabs>
          <w:tab w:val="clear" w:pos="340"/>
        </w:tabs>
        <w:spacing w:before="0"/>
        <w:rPr>
          <w:rFonts w:ascii="Arial" w:hAnsi="Arial" w:cs="Arial"/>
          <w:b/>
          <w:sz w:val="20"/>
        </w:rPr>
      </w:pPr>
      <w:r>
        <w:rPr>
          <w:rFonts w:ascii="Arial" w:hAnsi="Arial" w:cs="Arial"/>
          <w:b/>
          <w:sz w:val="20"/>
        </w:rPr>
        <w:t xml:space="preserve">Financial reporting and accounting policies </w:t>
      </w:r>
    </w:p>
    <w:p w14:paraId="2C0D417B" w14:textId="77777777" w:rsidR="00436046" w:rsidRPr="00504485" w:rsidRDefault="00436046" w:rsidP="00436046">
      <w:pPr>
        <w:pStyle w:val="ListParagraph"/>
        <w:spacing w:before="120"/>
        <w:ind w:left="346"/>
        <w:rPr>
          <w:rFonts w:eastAsia="Times New Roman"/>
          <w:bCs/>
          <w:iCs/>
          <w:sz w:val="20"/>
          <w:szCs w:val="20"/>
        </w:rPr>
      </w:pPr>
      <w:r w:rsidRPr="00504485">
        <w:rPr>
          <w:rFonts w:eastAsia="Times New Roman"/>
          <w:bCs/>
          <w:iCs/>
          <w:sz w:val="20"/>
          <w:szCs w:val="20"/>
        </w:rPr>
        <w:t>Read Target's financial statements and discuss Target’s accounting policies and practices with management, including:</w:t>
      </w:r>
    </w:p>
    <w:p w14:paraId="1395C6F4" w14:textId="77777777" w:rsidR="00436046" w:rsidRPr="00504485"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Reporting methodology;</w:t>
      </w:r>
    </w:p>
    <w:p w14:paraId="73FE4C1D" w14:textId="77777777" w:rsidR="00436046" w:rsidRPr="00504485"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Basis for cost allocations, if any;</w:t>
      </w:r>
    </w:p>
    <w:p w14:paraId="7DBAEDB1" w14:textId="77777777" w:rsidR="00436046" w:rsidRPr="00504485" w:rsidRDefault="00436046" w:rsidP="00436046">
      <w:pPr>
        <w:pStyle w:val="ListParagraph"/>
        <w:numPr>
          <w:ilvl w:val="0"/>
          <w:numId w:val="8"/>
        </w:numPr>
        <w:contextualSpacing w:val="0"/>
        <w:jc w:val="both"/>
        <w:rPr>
          <w:rFonts w:eastAsia="Times New Roman"/>
          <w:bCs/>
          <w:iCs/>
          <w:sz w:val="20"/>
          <w:szCs w:val="20"/>
        </w:rPr>
      </w:pPr>
      <w:bookmarkStart w:id="2" w:name="_Hlk98960457"/>
      <w:r w:rsidRPr="00504485">
        <w:rPr>
          <w:rFonts w:eastAsia="Times New Roman"/>
          <w:bCs/>
          <w:iCs/>
          <w:sz w:val="20"/>
          <w:szCs w:val="20"/>
        </w:rPr>
        <w:t>Revenue recognition policies by service type, and any recent changes in policy</w:t>
      </w:r>
      <w:bookmarkEnd w:id="2"/>
      <w:r w:rsidRPr="00504485">
        <w:rPr>
          <w:rFonts w:eastAsia="Times New Roman"/>
          <w:bCs/>
          <w:iCs/>
          <w:sz w:val="20"/>
          <w:szCs w:val="20"/>
        </w:rPr>
        <w:t>;</w:t>
      </w:r>
    </w:p>
    <w:p w14:paraId="073D9491" w14:textId="77777777" w:rsidR="00436046" w:rsidRPr="00436046"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 xml:space="preserve">Significant accounting estimates; </w:t>
      </w:r>
    </w:p>
    <w:p w14:paraId="60793C7D" w14:textId="77777777" w:rsidR="00436046" w:rsidRPr="00504485"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Recent or contemplated changes in accounting principles, procedures, or estimates;</w:t>
      </w:r>
    </w:p>
    <w:p w14:paraId="261281FF" w14:textId="77777777" w:rsidR="00436046" w:rsidRPr="00504485"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 xml:space="preserve">Cash versus accrual accounting policies; </w:t>
      </w:r>
    </w:p>
    <w:p w14:paraId="2F11CD68" w14:textId="77777777" w:rsidR="00436046" w:rsidRPr="00504485"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Intercompany accounts and related party transactions;</w:t>
      </w:r>
    </w:p>
    <w:p w14:paraId="5901EA58" w14:textId="77777777" w:rsidR="00436046" w:rsidRPr="00504485"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Differences between interim and year-end procedures; and</w:t>
      </w:r>
    </w:p>
    <w:p w14:paraId="39880A76" w14:textId="77777777" w:rsidR="00436046" w:rsidRPr="00504485" w:rsidRDefault="00436046" w:rsidP="00436046">
      <w:pPr>
        <w:pStyle w:val="ListParagraph"/>
        <w:numPr>
          <w:ilvl w:val="0"/>
          <w:numId w:val="8"/>
        </w:numPr>
        <w:contextualSpacing w:val="0"/>
        <w:jc w:val="both"/>
        <w:rPr>
          <w:rFonts w:eastAsia="Times New Roman"/>
          <w:bCs/>
          <w:iCs/>
          <w:sz w:val="20"/>
          <w:szCs w:val="20"/>
        </w:rPr>
      </w:pPr>
      <w:r w:rsidRPr="00504485">
        <w:rPr>
          <w:rFonts w:eastAsia="Times New Roman"/>
          <w:bCs/>
          <w:iCs/>
          <w:sz w:val="20"/>
          <w:szCs w:val="20"/>
        </w:rPr>
        <w:t>Non-recurring transactions.</w:t>
      </w:r>
    </w:p>
    <w:p w14:paraId="33061833" w14:textId="77777777" w:rsidR="00436046" w:rsidRPr="007E0C13" w:rsidRDefault="00436046" w:rsidP="00436046">
      <w:pPr>
        <w:rPr>
          <w:rFonts w:eastAsia="Times New Roman"/>
          <w:bCs/>
          <w:sz w:val="20"/>
          <w:szCs w:val="20"/>
        </w:rPr>
      </w:pPr>
    </w:p>
    <w:p w14:paraId="19367773" w14:textId="77777777" w:rsidR="00BF73D4" w:rsidRPr="00F87E06" w:rsidRDefault="00BF73D4" w:rsidP="00BF73D4">
      <w:pPr>
        <w:pStyle w:val="Bulletfornos"/>
        <w:numPr>
          <w:ilvl w:val="0"/>
          <w:numId w:val="2"/>
        </w:numPr>
        <w:spacing w:before="0"/>
        <w:rPr>
          <w:rFonts w:ascii="Arial" w:hAnsi="Arial" w:cs="Arial"/>
          <w:b/>
          <w:sz w:val="20"/>
        </w:rPr>
      </w:pPr>
      <w:r w:rsidRPr="00F87E06">
        <w:rPr>
          <w:rFonts w:ascii="Arial" w:hAnsi="Arial" w:cs="Arial"/>
          <w:b/>
          <w:sz w:val="20"/>
        </w:rPr>
        <w:t xml:space="preserve">Quality of earnings analysis </w:t>
      </w:r>
    </w:p>
    <w:p w14:paraId="59913F9B" w14:textId="77777777" w:rsidR="00BF73D4" w:rsidRPr="00504485" w:rsidRDefault="00BF73D4" w:rsidP="00BF73D4">
      <w:pPr>
        <w:pStyle w:val="ListParagraph"/>
        <w:spacing w:before="120"/>
        <w:ind w:left="346"/>
        <w:rPr>
          <w:rFonts w:eastAsia="Times New Roman"/>
          <w:bCs/>
          <w:iCs/>
          <w:sz w:val="20"/>
          <w:szCs w:val="20"/>
        </w:rPr>
      </w:pPr>
      <w:r w:rsidRPr="00504485">
        <w:rPr>
          <w:rFonts w:eastAsia="Times New Roman"/>
          <w:bCs/>
          <w:sz w:val="20"/>
          <w:szCs w:val="20"/>
        </w:rPr>
        <w:t xml:space="preserve">Summarize potential adjustments identified regarding the profit and loss performance of </w:t>
      </w:r>
      <w:r w:rsidRPr="00504485">
        <w:rPr>
          <w:rFonts w:eastAsia="Times New Roman"/>
          <w:bCs/>
          <w:iCs/>
          <w:sz w:val="20"/>
          <w:szCs w:val="20"/>
        </w:rPr>
        <w:t xml:space="preserve">Target in the form of a quality of earnings analysis, summarizing the risks that may impact EBITDA, including: </w:t>
      </w:r>
    </w:p>
    <w:p w14:paraId="34420C6E" w14:textId="77777777" w:rsidR="00BF73D4" w:rsidRPr="00504485" w:rsidRDefault="00BF73D4" w:rsidP="00BF73D4">
      <w:pPr>
        <w:pStyle w:val="ListParagraph"/>
        <w:numPr>
          <w:ilvl w:val="0"/>
          <w:numId w:val="14"/>
        </w:numPr>
        <w:contextualSpacing w:val="0"/>
        <w:jc w:val="both"/>
        <w:rPr>
          <w:rFonts w:eastAsia="Times New Roman"/>
          <w:bCs/>
          <w:iCs/>
          <w:sz w:val="20"/>
          <w:szCs w:val="20"/>
        </w:rPr>
      </w:pPr>
      <w:r w:rsidRPr="00504485">
        <w:rPr>
          <w:rFonts w:eastAsia="Times New Roman"/>
          <w:bCs/>
          <w:iCs/>
          <w:sz w:val="20"/>
          <w:szCs w:val="20"/>
        </w:rPr>
        <w:t xml:space="preserve">Management identified adjustments;  </w:t>
      </w:r>
    </w:p>
    <w:p w14:paraId="64E399BF" w14:textId="77777777" w:rsidR="00BF73D4" w:rsidRPr="00504485" w:rsidRDefault="00BF73D4" w:rsidP="00BF73D4">
      <w:pPr>
        <w:pStyle w:val="ListParagraph"/>
        <w:numPr>
          <w:ilvl w:val="0"/>
          <w:numId w:val="14"/>
        </w:numPr>
        <w:contextualSpacing w:val="0"/>
        <w:jc w:val="both"/>
        <w:rPr>
          <w:rFonts w:eastAsia="Times New Roman"/>
          <w:bCs/>
          <w:iCs/>
          <w:sz w:val="20"/>
          <w:szCs w:val="20"/>
        </w:rPr>
      </w:pPr>
      <w:r w:rsidRPr="00504485">
        <w:rPr>
          <w:rFonts w:eastAsia="Times New Roman"/>
          <w:bCs/>
          <w:iCs/>
          <w:sz w:val="20"/>
          <w:szCs w:val="20"/>
        </w:rPr>
        <w:t>Non-recurring revenue and expenses;</w:t>
      </w:r>
    </w:p>
    <w:p w14:paraId="0A8E20A9" w14:textId="7B276FDB" w:rsidR="00BF73D4" w:rsidRPr="0054309C" w:rsidRDefault="00AE55A2" w:rsidP="00AE55A2">
      <w:pPr>
        <w:pStyle w:val="ListParagraph"/>
        <w:numPr>
          <w:ilvl w:val="0"/>
          <w:numId w:val="14"/>
        </w:numPr>
        <w:contextualSpacing w:val="0"/>
        <w:jc w:val="both"/>
        <w:rPr>
          <w:rFonts w:eastAsia="Times New Roman"/>
          <w:bCs/>
          <w:iCs/>
          <w:sz w:val="20"/>
          <w:szCs w:val="20"/>
        </w:rPr>
      </w:pPr>
      <w:r>
        <w:rPr>
          <w:rFonts w:eastAsia="Times New Roman"/>
          <w:bCs/>
          <w:iCs/>
          <w:sz w:val="20"/>
          <w:szCs w:val="20"/>
        </w:rPr>
        <w:t>Significant o</w:t>
      </w:r>
      <w:r w:rsidR="00BF73D4" w:rsidRPr="00504485">
        <w:rPr>
          <w:rFonts w:eastAsia="Times New Roman"/>
          <w:bCs/>
          <w:iCs/>
          <w:sz w:val="20"/>
          <w:szCs w:val="20"/>
        </w:rPr>
        <w:t xml:space="preserve">ut of period revenue and expense </w:t>
      </w:r>
      <w:r>
        <w:rPr>
          <w:rFonts w:eastAsia="Times New Roman"/>
          <w:bCs/>
          <w:iCs/>
          <w:sz w:val="20"/>
          <w:szCs w:val="20"/>
        </w:rPr>
        <w:t xml:space="preserve">(e.g., </w:t>
      </w:r>
      <w:r w:rsidR="00BF73D4" w:rsidRPr="0054309C">
        <w:rPr>
          <w:rFonts w:eastAsia="Times New Roman"/>
          <w:bCs/>
          <w:iCs/>
          <w:sz w:val="20"/>
          <w:szCs w:val="20"/>
        </w:rPr>
        <w:t>cash to accrual accounting impact</w:t>
      </w:r>
      <w:r>
        <w:rPr>
          <w:rFonts w:eastAsia="Times New Roman"/>
          <w:bCs/>
          <w:iCs/>
          <w:sz w:val="20"/>
          <w:szCs w:val="20"/>
        </w:rPr>
        <w:t>)</w:t>
      </w:r>
      <w:r w:rsidR="00BF73D4" w:rsidRPr="0054309C">
        <w:rPr>
          <w:rFonts w:eastAsia="Times New Roman"/>
          <w:bCs/>
          <w:iCs/>
          <w:sz w:val="20"/>
          <w:szCs w:val="20"/>
        </w:rPr>
        <w:t xml:space="preserve">; and </w:t>
      </w:r>
    </w:p>
    <w:p w14:paraId="0987B8EE" w14:textId="32FB2297" w:rsidR="00BF73D4" w:rsidRPr="00504485" w:rsidRDefault="00BF73D4" w:rsidP="00BF73D4">
      <w:pPr>
        <w:pStyle w:val="ListParagraph"/>
        <w:numPr>
          <w:ilvl w:val="0"/>
          <w:numId w:val="14"/>
        </w:numPr>
        <w:contextualSpacing w:val="0"/>
        <w:jc w:val="both"/>
        <w:rPr>
          <w:rFonts w:eastAsia="Times New Roman"/>
          <w:bCs/>
          <w:iCs/>
          <w:sz w:val="20"/>
          <w:szCs w:val="20"/>
        </w:rPr>
      </w:pPr>
      <w:r w:rsidRPr="00504485">
        <w:rPr>
          <w:rFonts w:eastAsia="Times New Roman"/>
          <w:bCs/>
          <w:iCs/>
          <w:sz w:val="20"/>
          <w:szCs w:val="20"/>
        </w:rPr>
        <w:t>Pro forma impacts for items such as recent de novo.</w:t>
      </w:r>
    </w:p>
    <w:p w14:paraId="27C32230" w14:textId="77777777" w:rsidR="00BF73D4" w:rsidRDefault="00BF73D4" w:rsidP="0054309C">
      <w:pPr>
        <w:pStyle w:val="Bulletfornos"/>
        <w:spacing w:before="0"/>
        <w:ind w:left="0" w:firstLine="0"/>
        <w:rPr>
          <w:rFonts w:ascii="Arial" w:hAnsi="Arial" w:cs="Arial"/>
          <w:b/>
          <w:sz w:val="20"/>
        </w:rPr>
      </w:pPr>
    </w:p>
    <w:p w14:paraId="0BDB335F" w14:textId="143DF3EA" w:rsidR="00436046" w:rsidRPr="00F87E06" w:rsidRDefault="00436046" w:rsidP="00436046">
      <w:pPr>
        <w:pStyle w:val="Bulletfornos"/>
        <w:numPr>
          <w:ilvl w:val="0"/>
          <w:numId w:val="2"/>
        </w:numPr>
        <w:spacing w:before="0"/>
        <w:rPr>
          <w:rFonts w:ascii="Arial" w:hAnsi="Arial" w:cs="Arial"/>
          <w:b/>
          <w:sz w:val="20"/>
        </w:rPr>
      </w:pPr>
      <w:r w:rsidRPr="00F87E06">
        <w:rPr>
          <w:rFonts w:ascii="Arial" w:hAnsi="Arial" w:cs="Arial"/>
          <w:b/>
          <w:sz w:val="20"/>
        </w:rPr>
        <w:t>Revenue and profitability</w:t>
      </w:r>
    </w:p>
    <w:p w14:paraId="734E8AFE" w14:textId="2B69A9B9" w:rsidR="00436046" w:rsidRPr="004D020C" w:rsidRDefault="00436046" w:rsidP="00436046">
      <w:pPr>
        <w:pStyle w:val="ListParagraph"/>
        <w:spacing w:before="120"/>
        <w:ind w:left="346"/>
        <w:rPr>
          <w:bCs/>
          <w:sz w:val="20"/>
        </w:rPr>
      </w:pPr>
      <w:r w:rsidRPr="004D020C">
        <w:rPr>
          <w:bCs/>
          <w:sz w:val="20"/>
        </w:rPr>
        <w:t xml:space="preserve">Obtain and read </w:t>
      </w:r>
      <w:r w:rsidR="00E407C7">
        <w:rPr>
          <w:bCs/>
          <w:sz w:val="20"/>
        </w:rPr>
        <w:t>center</w:t>
      </w:r>
      <w:r w:rsidR="006B5AB9">
        <w:rPr>
          <w:bCs/>
          <w:sz w:val="20"/>
        </w:rPr>
        <w:t>-</w:t>
      </w:r>
      <w:r w:rsidRPr="004D020C">
        <w:rPr>
          <w:bCs/>
          <w:sz w:val="20"/>
        </w:rPr>
        <w:t xml:space="preserve">level financial information including key operating metrics as well as related revenue and EBITDA. Inquire of Target regarding unusual trends or fluctuations in </w:t>
      </w:r>
      <w:r w:rsidR="00E407C7">
        <w:rPr>
          <w:bCs/>
          <w:sz w:val="20"/>
        </w:rPr>
        <w:t xml:space="preserve">center </w:t>
      </w:r>
      <w:r w:rsidRPr="004D020C">
        <w:rPr>
          <w:bCs/>
          <w:sz w:val="20"/>
        </w:rPr>
        <w:t>performance over the historical period, including:</w:t>
      </w:r>
    </w:p>
    <w:p w14:paraId="2737170E" w14:textId="77777777" w:rsidR="00436046" w:rsidRPr="00436046" w:rsidRDefault="00436046" w:rsidP="00436046">
      <w:pPr>
        <w:pStyle w:val="ListParagraph"/>
        <w:numPr>
          <w:ilvl w:val="0"/>
          <w:numId w:val="9"/>
        </w:numPr>
        <w:contextualSpacing w:val="0"/>
        <w:jc w:val="both"/>
        <w:rPr>
          <w:rFonts w:eastAsia="Times New Roman"/>
          <w:bCs/>
          <w:iCs/>
          <w:sz w:val="20"/>
          <w:szCs w:val="20"/>
        </w:rPr>
      </w:pPr>
      <w:r w:rsidRPr="00436046">
        <w:rPr>
          <w:rFonts w:eastAsia="Times New Roman"/>
          <w:bCs/>
          <w:iCs/>
          <w:sz w:val="20"/>
          <w:szCs w:val="20"/>
        </w:rPr>
        <w:t xml:space="preserve">Unusual or non-standard contracts; </w:t>
      </w:r>
    </w:p>
    <w:p w14:paraId="077C3367" w14:textId="77777777" w:rsidR="00436046" w:rsidRPr="00436046" w:rsidRDefault="00436046" w:rsidP="00436046">
      <w:pPr>
        <w:pStyle w:val="ListParagraph"/>
        <w:numPr>
          <w:ilvl w:val="0"/>
          <w:numId w:val="9"/>
        </w:numPr>
        <w:contextualSpacing w:val="0"/>
        <w:jc w:val="both"/>
        <w:rPr>
          <w:rFonts w:eastAsia="Times New Roman"/>
          <w:bCs/>
          <w:iCs/>
          <w:sz w:val="20"/>
          <w:szCs w:val="20"/>
        </w:rPr>
      </w:pPr>
      <w:r w:rsidRPr="00436046">
        <w:rPr>
          <w:rFonts w:eastAsia="Times New Roman"/>
          <w:bCs/>
          <w:iCs/>
          <w:sz w:val="20"/>
          <w:szCs w:val="20"/>
        </w:rPr>
        <w:t xml:space="preserve">Bridge revenue and profitability for the following changes: </w:t>
      </w:r>
    </w:p>
    <w:p w14:paraId="42CCBC8D" w14:textId="676AC269" w:rsidR="00436046" w:rsidRDefault="00436046" w:rsidP="00502E00">
      <w:pPr>
        <w:pStyle w:val="ListParagraph"/>
        <w:numPr>
          <w:ilvl w:val="1"/>
          <w:numId w:val="9"/>
        </w:numPr>
        <w:contextualSpacing w:val="0"/>
        <w:jc w:val="both"/>
        <w:rPr>
          <w:rFonts w:eastAsia="Times New Roman"/>
          <w:bCs/>
          <w:iCs/>
          <w:sz w:val="20"/>
          <w:szCs w:val="20"/>
        </w:rPr>
      </w:pPr>
      <w:r w:rsidRPr="00436046">
        <w:rPr>
          <w:rFonts w:eastAsia="Times New Roman"/>
          <w:bCs/>
          <w:iCs/>
          <w:sz w:val="20"/>
          <w:szCs w:val="20"/>
        </w:rPr>
        <w:t xml:space="preserve">Same </w:t>
      </w:r>
      <w:r w:rsidR="001131A9">
        <w:rPr>
          <w:rFonts w:eastAsia="Times New Roman"/>
          <w:bCs/>
          <w:iCs/>
          <w:sz w:val="20"/>
          <w:szCs w:val="20"/>
        </w:rPr>
        <w:t>location</w:t>
      </w:r>
      <w:r w:rsidRPr="00436046">
        <w:rPr>
          <w:rFonts w:eastAsia="Times New Roman"/>
          <w:bCs/>
          <w:iCs/>
          <w:sz w:val="20"/>
          <w:szCs w:val="20"/>
        </w:rPr>
        <w:t xml:space="preserve"> and de novo </w:t>
      </w:r>
      <w:r w:rsidR="00E407C7">
        <w:rPr>
          <w:rFonts w:eastAsia="Times New Roman"/>
          <w:bCs/>
          <w:iCs/>
          <w:sz w:val="20"/>
          <w:szCs w:val="20"/>
        </w:rPr>
        <w:t>center</w:t>
      </w:r>
      <w:r w:rsidRPr="00436046">
        <w:rPr>
          <w:rFonts w:eastAsia="Times New Roman"/>
          <w:bCs/>
          <w:iCs/>
          <w:sz w:val="20"/>
          <w:szCs w:val="20"/>
        </w:rPr>
        <w:t xml:space="preserve">; </w:t>
      </w:r>
    </w:p>
    <w:p w14:paraId="2AC56570" w14:textId="6DF9E6A5" w:rsidR="00ED3BB6" w:rsidRDefault="00ED3BB6" w:rsidP="00502E00">
      <w:pPr>
        <w:pStyle w:val="ListParagraph"/>
        <w:numPr>
          <w:ilvl w:val="1"/>
          <w:numId w:val="9"/>
        </w:numPr>
        <w:contextualSpacing w:val="0"/>
        <w:jc w:val="both"/>
        <w:rPr>
          <w:rFonts w:eastAsia="Times New Roman"/>
          <w:bCs/>
          <w:iCs/>
          <w:sz w:val="20"/>
          <w:szCs w:val="20"/>
        </w:rPr>
      </w:pPr>
      <w:r>
        <w:rPr>
          <w:rFonts w:eastAsia="Times New Roman"/>
          <w:bCs/>
          <w:iCs/>
          <w:sz w:val="20"/>
          <w:szCs w:val="20"/>
        </w:rPr>
        <w:t xml:space="preserve">Center-based vs. home-based; </w:t>
      </w:r>
    </w:p>
    <w:p w14:paraId="436A47A9" w14:textId="77777777" w:rsidR="00436046" w:rsidRDefault="00436046" w:rsidP="00502E00">
      <w:pPr>
        <w:pStyle w:val="ListParagraph"/>
        <w:numPr>
          <w:ilvl w:val="1"/>
          <w:numId w:val="9"/>
        </w:numPr>
        <w:contextualSpacing w:val="0"/>
        <w:jc w:val="both"/>
        <w:rPr>
          <w:rFonts w:eastAsia="Times New Roman"/>
          <w:bCs/>
          <w:iCs/>
          <w:sz w:val="20"/>
          <w:szCs w:val="20"/>
        </w:rPr>
      </w:pPr>
      <w:r w:rsidRPr="00436046">
        <w:rPr>
          <w:rFonts w:eastAsia="Times New Roman"/>
          <w:bCs/>
          <w:iCs/>
          <w:sz w:val="20"/>
          <w:szCs w:val="20"/>
        </w:rPr>
        <w:t xml:space="preserve">Type of procedure by CPT code; </w:t>
      </w:r>
    </w:p>
    <w:p w14:paraId="649CC8E1" w14:textId="59F59EA8" w:rsidR="00BB548F" w:rsidRPr="00436046" w:rsidRDefault="00BB548F" w:rsidP="00502E00">
      <w:pPr>
        <w:pStyle w:val="ListParagraph"/>
        <w:numPr>
          <w:ilvl w:val="1"/>
          <w:numId w:val="9"/>
        </w:numPr>
        <w:contextualSpacing w:val="0"/>
        <w:jc w:val="both"/>
        <w:rPr>
          <w:rFonts w:eastAsia="Times New Roman"/>
          <w:bCs/>
          <w:iCs/>
          <w:sz w:val="20"/>
          <w:szCs w:val="20"/>
        </w:rPr>
      </w:pPr>
      <w:r>
        <w:rPr>
          <w:rFonts w:eastAsia="Times New Roman"/>
          <w:bCs/>
          <w:iCs/>
          <w:sz w:val="20"/>
          <w:szCs w:val="20"/>
        </w:rPr>
        <w:t>Top patient</w:t>
      </w:r>
      <w:r w:rsidR="00D85074">
        <w:rPr>
          <w:rFonts w:eastAsia="Times New Roman"/>
          <w:bCs/>
          <w:iCs/>
          <w:sz w:val="20"/>
          <w:szCs w:val="20"/>
        </w:rPr>
        <w:t xml:space="preserve"> and</w:t>
      </w:r>
      <w:r w:rsidR="001131A9">
        <w:rPr>
          <w:rFonts w:eastAsia="Times New Roman"/>
          <w:bCs/>
          <w:iCs/>
          <w:sz w:val="20"/>
          <w:szCs w:val="20"/>
        </w:rPr>
        <w:t>/or</w:t>
      </w:r>
      <w:r w:rsidR="00D85074">
        <w:rPr>
          <w:rFonts w:eastAsia="Times New Roman"/>
          <w:bCs/>
          <w:iCs/>
          <w:sz w:val="20"/>
          <w:szCs w:val="20"/>
        </w:rPr>
        <w:t xml:space="preserve"> top payers</w:t>
      </w:r>
      <w:r>
        <w:rPr>
          <w:rFonts w:eastAsia="Times New Roman"/>
          <w:bCs/>
          <w:iCs/>
          <w:sz w:val="20"/>
          <w:szCs w:val="20"/>
        </w:rPr>
        <w:t>;</w:t>
      </w:r>
      <w:r w:rsidR="001131A9">
        <w:rPr>
          <w:rFonts w:eastAsia="Times New Roman"/>
          <w:bCs/>
          <w:iCs/>
          <w:sz w:val="20"/>
          <w:szCs w:val="20"/>
        </w:rPr>
        <w:t xml:space="preserve"> and</w:t>
      </w:r>
      <w:r>
        <w:rPr>
          <w:rFonts w:eastAsia="Times New Roman"/>
          <w:bCs/>
          <w:iCs/>
          <w:sz w:val="20"/>
          <w:szCs w:val="20"/>
        </w:rPr>
        <w:t xml:space="preserve"> </w:t>
      </w:r>
    </w:p>
    <w:p w14:paraId="5F4C0173" w14:textId="77777777" w:rsidR="00436046" w:rsidRPr="00436046" w:rsidRDefault="00436046" w:rsidP="00502E00">
      <w:pPr>
        <w:pStyle w:val="ListParagraph"/>
        <w:numPr>
          <w:ilvl w:val="1"/>
          <w:numId w:val="9"/>
        </w:numPr>
        <w:contextualSpacing w:val="0"/>
        <w:jc w:val="both"/>
        <w:rPr>
          <w:rFonts w:eastAsia="Times New Roman"/>
          <w:bCs/>
          <w:iCs/>
          <w:sz w:val="20"/>
          <w:szCs w:val="20"/>
        </w:rPr>
      </w:pPr>
      <w:r w:rsidRPr="00436046">
        <w:rPr>
          <w:rFonts w:eastAsia="Times New Roman"/>
          <w:bCs/>
          <w:iCs/>
          <w:sz w:val="20"/>
          <w:szCs w:val="20"/>
        </w:rPr>
        <w:t>Changes in direct and indirect operating expenses.</w:t>
      </w:r>
    </w:p>
    <w:p w14:paraId="1B57A08A" w14:textId="51F75EB8" w:rsidR="00436046" w:rsidRPr="004D314B" w:rsidRDefault="00E407C7" w:rsidP="00436046">
      <w:pPr>
        <w:pStyle w:val="ListParagraph"/>
        <w:numPr>
          <w:ilvl w:val="0"/>
          <w:numId w:val="9"/>
        </w:numPr>
        <w:contextualSpacing w:val="0"/>
        <w:jc w:val="both"/>
        <w:rPr>
          <w:rFonts w:eastAsia="Times New Roman"/>
          <w:bCs/>
          <w:iCs/>
          <w:sz w:val="20"/>
          <w:szCs w:val="20"/>
        </w:rPr>
      </w:pPr>
      <w:r>
        <w:rPr>
          <w:rFonts w:eastAsia="Times New Roman"/>
          <w:bCs/>
          <w:iCs/>
          <w:sz w:val="20"/>
          <w:szCs w:val="20"/>
        </w:rPr>
        <w:t>Center</w:t>
      </w:r>
      <w:r w:rsidR="00D70CC8">
        <w:rPr>
          <w:rFonts w:eastAsia="Times New Roman"/>
          <w:bCs/>
          <w:iCs/>
          <w:sz w:val="20"/>
          <w:szCs w:val="20"/>
        </w:rPr>
        <w:t>-</w:t>
      </w:r>
      <w:r w:rsidR="00436046" w:rsidRPr="004D314B">
        <w:rPr>
          <w:rFonts w:eastAsia="Times New Roman"/>
          <w:bCs/>
          <w:iCs/>
          <w:sz w:val="20"/>
          <w:szCs w:val="20"/>
        </w:rPr>
        <w:t xml:space="preserve">level expense trends; </w:t>
      </w:r>
    </w:p>
    <w:p w14:paraId="0BB67DB8" w14:textId="77777777" w:rsidR="00436046" w:rsidRPr="004D314B" w:rsidRDefault="00436046" w:rsidP="00436046">
      <w:pPr>
        <w:pStyle w:val="ListParagraph"/>
        <w:numPr>
          <w:ilvl w:val="0"/>
          <w:numId w:val="9"/>
        </w:numPr>
        <w:contextualSpacing w:val="0"/>
        <w:jc w:val="both"/>
        <w:rPr>
          <w:rFonts w:eastAsia="Times New Roman"/>
          <w:bCs/>
          <w:iCs/>
          <w:sz w:val="20"/>
          <w:szCs w:val="20"/>
        </w:rPr>
      </w:pPr>
      <w:r w:rsidRPr="004D314B">
        <w:rPr>
          <w:rFonts w:eastAsia="Times New Roman"/>
          <w:bCs/>
          <w:iCs/>
          <w:sz w:val="20"/>
          <w:szCs w:val="20"/>
        </w:rPr>
        <w:t>Allocations of corporate overhead costs, if any;</w:t>
      </w:r>
    </w:p>
    <w:p w14:paraId="7301AD12" w14:textId="77777777" w:rsidR="00436046" w:rsidRPr="00436046" w:rsidRDefault="00436046" w:rsidP="00436046">
      <w:pPr>
        <w:pStyle w:val="ListParagraph"/>
        <w:numPr>
          <w:ilvl w:val="0"/>
          <w:numId w:val="9"/>
        </w:numPr>
        <w:contextualSpacing w:val="0"/>
        <w:jc w:val="both"/>
        <w:rPr>
          <w:rFonts w:eastAsia="Times New Roman"/>
          <w:bCs/>
          <w:iCs/>
          <w:sz w:val="20"/>
          <w:szCs w:val="20"/>
        </w:rPr>
      </w:pPr>
      <w:r w:rsidRPr="004D314B">
        <w:rPr>
          <w:rFonts w:eastAsia="Times New Roman"/>
          <w:bCs/>
          <w:iCs/>
          <w:sz w:val="20"/>
          <w:szCs w:val="20"/>
        </w:rPr>
        <w:lastRenderedPageBreak/>
        <w:t>De novo start-up costs</w:t>
      </w:r>
      <w:r>
        <w:rPr>
          <w:rFonts w:eastAsia="Times New Roman"/>
          <w:bCs/>
          <w:iCs/>
          <w:sz w:val="20"/>
          <w:szCs w:val="20"/>
        </w:rPr>
        <w:t xml:space="preserve">; and </w:t>
      </w:r>
    </w:p>
    <w:p w14:paraId="22597258" w14:textId="58124BFB" w:rsidR="00436046" w:rsidRPr="00436046" w:rsidRDefault="00436046" w:rsidP="00436046">
      <w:pPr>
        <w:pStyle w:val="ListParagraph"/>
        <w:numPr>
          <w:ilvl w:val="0"/>
          <w:numId w:val="9"/>
        </w:numPr>
        <w:contextualSpacing w:val="0"/>
        <w:jc w:val="both"/>
        <w:rPr>
          <w:rFonts w:eastAsia="Times New Roman"/>
          <w:bCs/>
          <w:iCs/>
          <w:sz w:val="20"/>
          <w:szCs w:val="20"/>
        </w:rPr>
      </w:pPr>
      <w:r w:rsidRPr="00436046">
        <w:rPr>
          <w:rFonts w:eastAsia="Times New Roman"/>
          <w:bCs/>
          <w:iCs/>
          <w:sz w:val="20"/>
          <w:szCs w:val="20"/>
        </w:rPr>
        <w:t>Components of other income and expense for the historical periods. Consider items that may impact EBITDA.</w:t>
      </w:r>
    </w:p>
    <w:p w14:paraId="5C845589" w14:textId="4C2CD7F1" w:rsidR="00436046" w:rsidRPr="00436046" w:rsidRDefault="00436046" w:rsidP="00436046">
      <w:pPr>
        <w:ind w:left="360"/>
        <w:jc w:val="both"/>
        <w:rPr>
          <w:rFonts w:eastAsia="Times New Roman"/>
          <w:bCs/>
          <w:iCs/>
          <w:sz w:val="20"/>
          <w:szCs w:val="20"/>
        </w:rPr>
      </w:pPr>
    </w:p>
    <w:p w14:paraId="5BD2521E" w14:textId="77777777" w:rsidR="00436046" w:rsidRPr="00F87E06" w:rsidRDefault="00436046" w:rsidP="00436046">
      <w:pPr>
        <w:pStyle w:val="Bulletfornos"/>
        <w:numPr>
          <w:ilvl w:val="0"/>
          <w:numId w:val="2"/>
        </w:numPr>
        <w:spacing w:before="0"/>
        <w:rPr>
          <w:rFonts w:ascii="Arial" w:hAnsi="Arial" w:cs="Arial"/>
          <w:b/>
          <w:sz w:val="20"/>
        </w:rPr>
      </w:pPr>
      <w:r w:rsidRPr="00F87E06">
        <w:rPr>
          <w:rFonts w:ascii="Arial" w:hAnsi="Arial" w:cs="Arial"/>
          <w:b/>
          <w:sz w:val="20"/>
        </w:rPr>
        <w:t>Operating expenses</w:t>
      </w:r>
    </w:p>
    <w:p w14:paraId="2EA53193" w14:textId="77777777" w:rsidR="00436046" w:rsidRPr="00504485" w:rsidRDefault="00436046" w:rsidP="00436046">
      <w:pPr>
        <w:pStyle w:val="ListParagraph"/>
        <w:spacing w:before="120"/>
        <w:ind w:left="346"/>
        <w:rPr>
          <w:rFonts w:eastAsia="Times New Roman"/>
          <w:bCs/>
          <w:iCs/>
          <w:sz w:val="20"/>
          <w:szCs w:val="20"/>
        </w:rPr>
      </w:pPr>
      <w:r w:rsidRPr="00504485">
        <w:rPr>
          <w:rFonts w:eastAsia="Times New Roman"/>
          <w:bCs/>
          <w:sz w:val="20"/>
          <w:szCs w:val="20"/>
        </w:rPr>
        <w:t>Obtain and read an analysis of Target’s expenses and inquire about:</w:t>
      </w:r>
      <w:r w:rsidRPr="00504485">
        <w:rPr>
          <w:rFonts w:eastAsia="Times New Roman"/>
          <w:bCs/>
          <w:iCs/>
          <w:sz w:val="20"/>
          <w:szCs w:val="20"/>
        </w:rPr>
        <w:t xml:space="preserve"> </w:t>
      </w:r>
    </w:p>
    <w:p w14:paraId="7F5BF7AB" w14:textId="707D0D8A" w:rsidR="00436046" w:rsidRDefault="00436046" w:rsidP="00436046">
      <w:pPr>
        <w:pStyle w:val="ListParagraph"/>
        <w:numPr>
          <w:ilvl w:val="0"/>
          <w:numId w:val="10"/>
        </w:numPr>
        <w:contextualSpacing w:val="0"/>
        <w:jc w:val="both"/>
        <w:rPr>
          <w:rFonts w:eastAsia="Times New Roman"/>
          <w:bCs/>
          <w:iCs/>
          <w:sz w:val="20"/>
          <w:szCs w:val="20"/>
        </w:rPr>
      </w:pPr>
      <w:r w:rsidRPr="00504485">
        <w:rPr>
          <w:rFonts w:eastAsia="Times New Roman"/>
          <w:bCs/>
          <w:iCs/>
          <w:sz w:val="20"/>
          <w:szCs w:val="20"/>
        </w:rPr>
        <w:t xml:space="preserve">Behavior Therapists </w:t>
      </w:r>
      <w:r w:rsidR="00025484">
        <w:rPr>
          <w:rFonts w:eastAsia="Times New Roman"/>
          <w:bCs/>
          <w:iCs/>
          <w:sz w:val="20"/>
          <w:szCs w:val="20"/>
        </w:rPr>
        <w:t>(registered and unregistered)</w:t>
      </w:r>
      <w:r w:rsidR="00AA76A4">
        <w:rPr>
          <w:rFonts w:eastAsia="Times New Roman"/>
          <w:bCs/>
          <w:iCs/>
          <w:sz w:val="20"/>
          <w:szCs w:val="20"/>
        </w:rPr>
        <w:t xml:space="preserve"> and </w:t>
      </w:r>
      <w:r w:rsidR="00E775C2">
        <w:rPr>
          <w:rFonts w:eastAsia="Times New Roman"/>
          <w:bCs/>
          <w:iCs/>
          <w:sz w:val="20"/>
          <w:szCs w:val="20"/>
        </w:rPr>
        <w:t>Board Certified Behavior Analyst</w:t>
      </w:r>
      <w:r w:rsidR="00025484">
        <w:rPr>
          <w:rFonts w:eastAsia="Times New Roman"/>
          <w:bCs/>
          <w:iCs/>
          <w:sz w:val="20"/>
          <w:szCs w:val="20"/>
        </w:rPr>
        <w:t xml:space="preserve">; </w:t>
      </w:r>
      <w:r w:rsidRPr="00504485">
        <w:rPr>
          <w:rFonts w:eastAsia="Times New Roman"/>
          <w:bCs/>
          <w:iCs/>
          <w:sz w:val="20"/>
          <w:szCs w:val="20"/>
        </w:rPr>
        <w:t xml:space="preserve">compensation and benefits, including incentive compensation and historical turnover; </w:t>
      </w:r>
    </w:p>
    <w:p w14:paraId="469B429F" w14:textId="4FE0D519" w:rsidR="00436046" w:rsidRPr="00436046" w:rsidRDefault="00436046" w:rsidP="00436046">
      <w:pPr>
        <w:pStyle w:val="ListParagraph"/>
        <w:numPr>
          <w:ilvl w:val="0"/>
          <w:numId w:val="10"/>
        </w:numPr>
        <w:contextualSpacing w:val="0"/>
        <w:jc w:val="both"/>
        <w:rPr>
          <w:rFonts w:eastAsia="Times New Roman"/>
          <w:bCs/>
          <w:iCs/>
          <w:sz w:val="20"/>
          <w:szCs w:val="20"/>
        </w:rPr>
      </w:pPr>
      <w:r w:rsidRPr="00436046">
        <w:rPr>
          <w:rFonts w:eastAsia="Times New Roman"/>
          <w:bCs/>
          <w:iCs/>
          <w:sz w:val="20"/>
          <w:szCs w:val="20"/>
        </w:rPr>
        <w:t xml:space="preserve">Non-provider salaries, wages, and benefits, including incentive compensation; </w:t>
      </w:r>
    </w:p>
    <w:p w14:paraId="4D579970" w14:textId="77777777" w:rsidR="00436046" w:rsidRPr="00504485" w:rsidRDefault="00436046" w:rsidP="00436046">
      <w:pPr>
        <w:pStyle w:val="ListParagraph"/>
        <w:numPr>
          <w:ilvl w:val="0"/>
          <w:numId w:val="10"/>
        </w:numPr>
        <w:contextualSpacing w:val="0"/>
        <w:jc w:val="both"/>
        <w:rPr>
          <w:rFonts w:eastAsia="Times New Roman"/>
          <w:bCs/>
          <w:iCs/>
          <w:sz w:val="20"/>
          <w:szCs w:val="20"/>
        </w:rPr>
      </w:pPr>
      <w:r w:rsidRPr="00504485">
        <w:rPr>
          <w:rFonts w:eastAsia="Times New Roman"/>
          <w:bCs/>
          <w:iCs/>
          <w:sz w:val="20"/>
          <w:szCs w:val="20"/>
        </w:rPr>
        <w:t xml:space="preserve">Owner compensation and benefits; </w:t>
      </w:r>
    </w:p>
    <w:p w14:paraId="34A64910" w14:textId="77777777" w:rsidR="00436046" w:rsidRPr="00504485" w:rsidRDefault="00436046" w:rsidP="00436046">
      <w:pPr>
        <w:pStyle w:val="ListParagraph"/>
        <w:numPr>
          <w:ilvl w:val="0"/>
          <w:numId w:val="10"/>
        </w:numPr>
        <w:contextualSpacing w:val="0"/>
        <w:jc w:val="both"/>
        <w:rPr>
          <w:rFonts w:eastAsia="Times New Roman"/>
          <w:bCs/>
          <w:iCs/>
          <w:sz w:val="20"/>
          <w:szCs w:val="20"/>
        </w:rPr>
      </w:pPr>
      <w:r w:rsidRPr="00504485">
        <w:rPr>
          <w:rFonts w:eastAsia="Times New Roman"/>
          <w:bCs/>
          <w:iCs/>
          <w:sz w:val="20"/>
          <w:szCs w:val="20"/>
        </w:rPr>
        <w:t xml:space="preserve">Treatment supplies, including key suppliers and purchasing terms; </w:t>
      </w:r>
    </w:p>
    <w:p w14:paraId="6A4DA973" w14:textId="66093E18" w:rsidR="00436046" w:rsidRPr="00504485" w:rsidRDefault="00E407C7" w:rsidP="00436046">
      <w:pPr>
        <w:pStyle w:val="ListParagraph"/>
        <w:numPr>
          <w:ilvl w:val="0"/>
          <w:numId w:val="10"/>
        </w:numPr>
        <w:contextualSpacing w:val="0"/>
        <w:jc w:val="both"/>
        <w:rPr>
          <w:rFonts w:eastAsia="Times New Roman"/>
          <w:bCs/>
          <w:iCs/>
          <w:sz w:val="20"/>
          <w:szCs w:val="20"/>
        </w:rPr>
      </w:pPr>
      <w:r>
        <w:rPr>
          <w:rFonts w:eastAsia="Times New Roman"/>
          <w:bCs/>
          <w:iCs/>
          <w:sz w:val="20"/>
          <w:szCs w:val="20"/>
        </w:rPr>
        <w:t>Center</w:t>
      </w:r>
      <w:r w:rsidR="00436046" w:rsidRPr="00504485">
        <w:rPr>
          <w:rFonts w:eastAsia="Times New Roman"/>
          <w:bCs/>
          <w:iCs/>
          <w:sz w:val="20"/>
          <w:szCs w:val="20"/>
        </w:rPr>
        <w:t xml:space="preserve">-level costs and sub-leasing arrangements; </w:t>
      </w:r>
    </w:p>
    <w:p w14:paraId="406A9B49" w14:textId="77777777" w:rsidR="00436046" w:rsidRPr="00504485" w:rsidRDefault="00436046" w:rsidP="00436046">
      <w:pPr>
        <w:pStyle w:val="ListParagraph"/>
        <w:numPr>
          <w:ilvl w:val="0"/>
          <w:numId w:val="10"/>
        </w:numPr>
        <w:contextualSpacing w:val="0"/>
        <w:jc w:val="both"/>
        <w:rPr>
          <w:rFonts w:eastAsia="Times New Roman"/>
          <w:bCs/>
          <w:iCs/>
          <w:sz w:val="20"/>
          <w:szCs w:val="20"/>
        </w:rPr>
      </w:pPr>
      <w:r w:rsidRPr="00504485">
        <w:rPr>
          <w:rFonts w:eastAsia="Times New Roman"/>
          <w:bCs/>
          <w:iCs/>
          <w:sz w:val="20"/>
          <w:szCs w:val="20"/>
        </w:rPr>
        <w:t>Insurance expense;</w:t>
      </w:r>
    </w:p>
    <w:p w14:paraId="54D418AF" w14:textId="77777777" w:rsidR="00436046" w:rsidRPr="00504485" w:rsidRDefault="00436046" w:rsidP="00436046">
      <w:pPr>
        <w:pStyle w:val="ListParagraph"/>
        <w:numPr>
          <w:ilvl w:val="0"/>
          <w:numId w:val="10"/>
        </w:numPr>
        <w:contextualSpacing w:val="0"/>
        <w:jc w:val="both"/>
        <w:rPr>
          <w:rFonts w:eastAsia="Times New Roman"/>
          <w:bCs/>
          <w:iCs/>
          <w:sz w:val="20"/>
          <w:szCs w:val="20"/>
        </w:rPr>
      </w:pPr>
      <w:r w:rsidRPr="00504485">
        <w:rPr>
          <w:rFonts w:eastAsia="Times New Roman"/>
          <w:bCs/>
          <w:iCs/>
          <w:sz w:val="20"/>
          <w:szCs w:val="20"/>
        </w:rPr>
        <w:t>Selling, general and administrative/corporate expenses;</w:t>
      </w:r>
    </w:p>
    <w:p w14:paraId="5E3FA917" w14:textId="1D65BCC6" w:rsidR="00436046" w:rsidRPr="0054309C" w:rsidRDefault="00436046" w:rsidP="001131A9">
      <w:pPr>
        <w:pStyle w:val="ListParagraph"/>
        <w:numPr>
          <w:ilvl w:val="0"/>
          <w:numId w:val="10"/>
        </w:numPr>
        <w:contextualSpacing w:val="0"/>
        <w:jc w:val="both"/>
        <w:rPr>
          <w:rFonts w:eastAsia="Times New Roman"/>
          <w:bCs/>
          <w:iCs/>
          <w:sz w:val="20"/>
          <w:szCs w:val="20"/>
        </w:rPr>
      </w:pPr>
      <w:r w:rsidRPr="00504485">
        <w:rPr>
          <w:rFonts w:eastAsia="Times New Roman"/>
          <w:bCs/>
          <w:iCs/>
          <w:sz w:val="20"/>
          <w:szCs w:val="20"/>
        </w:rPr>
        <w:t>Overhead allocations;</w:t>
      </w:r>
      <w:r w:rsidR="001131A9">
        <w:rPr>
          <w:rFonts w:eastAsia="Times New Roman"/>
          <w:bCs/>
          <w:iCs/>
          <w:sz w:val="20"/>
          <w:szCs w:val="20"/>
        </w:rPr>
        <w:t xml:space="preserve"> </w:t>
      </w:r>
      <w:r w:rsidRPr="0054309C">
        <w:rPr>
          <w:rFonts w:eastAsia="Times New Roman"/>
          <w:bCs/>
          <w:iCs/>
          <w:sz w:val="20"/>
          <w:szCs w:val="20"/>
        </w:rPr>
        <w:t>and</w:t>
      </w:r>
    </w:p>
    <w:p w14:paraId="4B46C892" w14:textId="77777777" w:rsidR="00436046" w:rsidRPr="00504485" w:rsidRDefault="00436046" w:rsidP="00436046">
      <w:pPr>
        <w:pStyle w:val="ListParagraph"/>
        <w:numPr>
          <w:ilvl w:val="0"/>
          <w:numId w:val="10"/>
        </w:numPr>
        <w:contextualSpacing w:val="0"/>
        <w:jc w:val="both"/>
        <w:rPr>
          <w:rFonts w:eastAsia="Times New Roman"/>
          <w:bCs/>
          <w:iCs/>
          <w:sz w:val="20"/>
          <w:szCs w:val="20"/>
        </w:rPr>
      </w:pPr>
      <w:r w:rsidRPr="00504485">
        <w:rPr>
          <w:rFonts w:eastAsia="Times New Roman"/>
          <w:bCs/>
          <w:iCs/>
          <w:sz w:val="20"/>
          <w:szCs w:val="20"/>
        </w:rPr>
        <w:t>Unusual and extraordinary items.</w:t>
      </w:r>
    </w:p>
    <w:p w14:paraId="7589747C" w14:textId="77777777" w:rsidR="00436046" w:rsidRPr="00504485" w:rsidRDefault="00436046" w:rsidP="00436046">
      <w:pPr>
        <w:pStyle w:val="ListParagraph"/>
        <w:rPr>
          <w:rFonts w:eastAsia="Times New Roman"/>
          <w:bCs/>
          <w:sz w:val="20"/>
          <w:szCs w:val="20"/>
        </w:rPr>
      </w:pPr>
    </w:p>
    <w:p w14:paraId="55F3660F" w14:textId="77777777" w:rsidR="001131A9" w:rsidRPr="00F87E06" w:rsidRDefault="001131A9" w:rsidP="001131A9">
      <w:pPr>
        <w:pStyle w:val="Bulletfornos"/>
        <w:numPr>
          <w:ilvl w:val="0"/>
          <w:numId w:val="2"/>
        </w:numPr>
        <w:spacing w:before="0"/>
        <w:rPr>
          <w:rFonts w:ascii="Arial" w:hAnsi="Arial" w:cs="Arial"/>
          <w:b/>
          <w:sz w:val="20"/>
        </w:rPr>
      </w:pPr>
      <w:r w:rsidRPr="00F87E06">
        <w:rPr>
          <w:rFonts w:ascii="Arial" w:hAnsi="Arial" w:cs="Arial"/>
          <w:b/>
          <w:sz w:val="20"/>
        </w:rPr>
        <w:t>Working capital</w:t>
      </w:r>
      <w:r>
        <w:rPr>
          <w:rFonts w:ascii="Arial" w:hAnsi="Arial" w:cs="Arial"/>
          <w:b/>
          <w:sz w:val="20"/>
        </w:rPr>
        <w:t xml:space="preserve"> analysis</w:t>
      </w:r>
    </w:p>
    <w:p w14:paraId="759F2E07" w14:textId="1D54C19A" w:rsidR="001131A9" w:rsidRPr="00504485" w:rsidRDefault="001131A9" w:rsidP="001131A9">
      <w:pPr>
        <w:pStyle w:val="ListParagraph"/>
        <w:spacing w:before="120"/>
        <w:ind w:left="346"/>
        <w:rPr>
          <w:rFonts w:eastAsia="Times New Roman"/>
          <w:bCs/>
          <w:sz w:val="20"/>
          <w:szCs w:val="20"/>
        </w:rPr>
      </w:pPr>
      <w:r w:rsidRPr="00504485">
        <w:rPr>
          <w:rFonts w:eastAsia="Times New Roman"/>
          <w:bCs/>
          <w:sz w:val="20"/>
          <w:szCs w:val="20"/>
        </w:rPr>
        <w:t xml:space="preserve">Obtain and read </w:t>
      </w:r>
      <w:r>
        <w:rPr>
          <w:rFonts w:eastAsia="Times New Roman"/>
          <w:bCs/>
          <w:sz w:val="20"/>
          <w:szCs w:val="20"/>
        </w:rPr>
        <w:t xml:space="preserve">an </w:t>
      </w:r>
      <w:r w:rsidRPr="00504485">
        <w:rPr>
          <w:rFonts w:eastAsia="Times New Roman"/>
          <w:bCs/>
          <w:sz w:val="20"/>
          <w:szCs w:val="20"/>
        </w:rPr>
        <w:t>analysis of working capital on a monthly basis. Inquire about historical trends, including seasonality</w:t>
      </w:r>
      <w:r>
        <w:rPr>
          <w:rFonts w:eastAsia="Times New Roman"/>
          <w:bCs/>
          <w:sz w:val="20"/>
          <w:szCs w:val="20"/>
        </w:rPr>
        <w:t xml:space="preserve">, </w:t>
      </w:r>
      <w:r w:rsidRPr="00504485">
        <w:rPr>
          <w:rFonts w:eastAsia="Times New Roman"/>
          <w:bCs/>
          <w:sz w:val="20"/>
          <w:szCs w:val="20"/>
        </w:rPr>
        <w:t>fluctuations in key metrics such as days revenue outstanding, days payable outstanding, and working capital as a percent of trailing revenue, and other significant items.</w:t>
      </w:r>
    </w:p>
    <w:p w14:paraId="6C1F1A01" w14:textId="77777777" w:rsidR="001131A9" w:rsidRDefault="001131A9" w:rsidP="0054309C">
      <w:pPr>
        <w:pStyle w:val="Bulletfornos"/>
        <w:spacing w:before="0"/>
        <w:rPr>
          <w:rFonts w:ascii="Arial" w:hAnsi="Arial" w:cs="Arial"/>
          <w:b/>
          <w:sz w:val="20"/>
        </w:rPr>
      </w:pPr>
    </w:p>
    <w:p w14:paraId="3546A505" w14:textId="6E4BC706" w:rsidR="00436046" w:rsidRPr="00F87E06" w:rsidRDefault="00436046" w:rsidP="00436046">
      <w:pPr>
        <w:pStyle w:val="Bulletfornos"/>
        <w:numPr>
          <w:ilvl w:val="0"/>
          <w:numId w:val="2"/>
        </w:numPr>
        <w:spacing w:before="0"/>
        <w:rPr>
          <w:rFonts w:ascii="Arial" w:hAnsi="Arial" w:cs="Arial"/>
          <w:b/>
          <w:sz w:val="20"/>
        </w:rPr>
      </w:pPr>
      <w:r w:rsidRPr="00F87E06">
        <w:rPr>
          <w:rFonts w:ascii="Arial" w:hAnsi="Arial" w:cs="Arial"/>
          <w:b/>
          <w:sz w:val="20"/>
        </w:rPr>
        <w:t>Accounts receivable analysis</w:t>
      </w:r>
    </w:p>
    <w:p w14:paraId="723580E9" w14:textId="77777777" w:rsidR="00436046" w:rsidRPr="00504485" w:rsidRDefault="00436046" w:rsidP="00436046">
      <w:pPr>
        <w:pStyle w:val="ListParagraph"/>
        <w:spacing w:before="120"/>
        <w:ind w:left="346"/>
        <w:rPr>
          <w:rFonts w:eastAsia="Times New Roman"/>
          <w:bCs/>
          <w:sz w:val="20"/>
          <w:szCs w:val="20"/>
        </w:rPr>
      </w:pPr>
      <w:r w:rsidRPr="00504485">
        <w:rPr>
          <w:rFonts w:eastAsia="Times New Roman"/>
          <w:bCs/>
          <w:sz w:val="20"/>
          <w:szCs w:val="20"/>
        </w:rPr>
        <w:t>Obtain and read an analysis of Target’s accounts receivable and inquire about:</w:t>
      </w:r>
    </w:p>
    <w:p w14:paraId="099F7185" w14:textId="1568BB60" w:rsidR="00436046" w:rsidRPr="00504485" w:rsidRDefault="00436046" w:rsidP="00436046">
      <w:pPr>
        <w:pStyle w:val="ListParagraph"/>
        <w:numPr>
          <w:ilvl w:val="0"/>
          <w:numId w:val="11"/>
        </w:numPr>
        <w:contextualSpacing w:val="0"/>
        <w:jc w:val="both"/>
        <w:rPr>
          <w:rFonts w:eastAsia="Times New Roman"/>
          <w:bCs/>
          <w:iCs/>
          <w:sz w:val="20"/>
          <w:szCs w:val="20"/>
        </w:rPr>
      </w:pPr>
      <w:r w:rsidRPr="00504485">
        <w:rPr>
          <w:rFonts w:eastAsia="Times New Roman"/>
          <w:bCs/>
          <w:iCs/>
          <w:sz w:val="20"/>
          <w:szCs w:val="20"/>
        </w:rPr>
        <w:t xml:space="preserve">Aging analysis by </w:t>
      </w:r>
      <w:r w:rsidR="00E407C7">
        <w:rPr>
          <w:rFonts w:eastAsia="Times New Roman"/>
          <w:bCs/>
          <w:iCs/>
          <w:sz w:val="20"/>
          <w:szCs w:val="20"/>
        </w:rPr>
        <w:t xml:space="preserve">center </w:t>
      </w:r>
      <w:r w:rsidRPr="00504485">
        <w:rPr>
          <w:rFonts w:eastAsia="Times New Roman"/>
          <w:bCs/>
          <w:iCs/>
          <w:sz w:val="20"/>
          <w:szCs w:val="20"/>
        </w:rPr>
        <w:t>by payor;</w:t>
      </w:r>
    </w:p>
    <w:p w14:paraId="44D2ACFE" w14:textId="5793F880" w:rsidR="00436046" w:rsidRPr="00504485" w:rsidRDefault="00436046" w:rsidP="00436046">
      <w:pPr>
        <w:pStyle w:val="ListParagraph"/>
        <w:numPr>
          <w:ilvl w:val="0"/>
          <w:numId w:val="11"/>
        </w:numPr>
        <w:contextualSpacing w:val="0"/>
        <w:jc w:val="both"/>
        <w:rPr>
          <w:rFonts w:eastAsia="Times New Roman"/>
          <w:bCs/>
          <w:iCs/>
          <w:sz w:val="20"/>
          <w:szCs w:val="20"/>
        </w:rPr>
      </w:pPr>
      <w:r w:rsidRPr="00504485">
        <w:rPr>
          <w:rFonts w:eastAsia="Times New Roman"/>
          <w:bCs/>
          <w:iCs/>
          <w:sz w:val="20"/>
          <w:szCs w:val="20"/>
        </w:rPr>
        <w:t>Contractual allowances</w:t>
      </w:r>
      <w:r w:rsidR="00BF73D4">
        <w:rPr>
          <w:rFonts w:eastAsia="Times New Roman"/>
          <w:bCs/>
          <w:iCs/>
          <w:sz w:val="20"/>
          <w:szCs w:val="20"/>
        </w:rPr>
        <w:t>;</w:t>
      </w:r>
    </w:p>
    <w:p w14:paraId="61437685" w14:textId="62B1323F" w:rsidR="00436046" w:rsidRPr="00504485" w:rsidRDefault="00436046" w:rsidP="00436046">
      <w:pPr>
        <w:pStyle w:val="ListParagraph"/>
        <w:numPr>
          <w:ilvl w:val="0"/>
          <w:numId w:val="11"/>
        </w:numPr>
        <w:contextualSpacing w:val="0"/>
        <w:jc w:val="both"/>
        <w:rPr>
          <w:rFonts w:eastAsia="Times New Roman"/>
          <w:bCs/>
          <w:iCs/>
          <w:sz w:val="20"/>
          <w:szCs w:val="20"/>
        </w:rPr>
      </w:pPr>
      <w:r w:rsidRPr="00504485">
        <w:rPr>
          <w:rFonts w:eastAsia="Times New Roman"/>
          <w:bCs/>
          <w:iCs/>
          <w:sz w:val="20"/>
          <w:szCs w:val="20"/>
        </w:rPr>
        <w:t>Allowance for doubtful accounts and write-offs</w:t>
      </w:r>
      <w:r w:rsidR="00BF73D4">
        <w:rPr>
          <w:rFonts w:eastAsia="Times New Roman"/>
          <w:bCs/>
          <w:iCs/>
          <w:sz w:val="20"/>
          <w:szCs w:val="20"/>
        </w:rPr>
        <w:t>;</w:t>
      </w:r>
      <w:r w:rsidRPr="00504485">
        <w:rPr>
          <w:rFonts w:eastAsia="Times New Roman"/>
          <w:bCs/>
          <w:iCs/>
          <w:sz w:val="20"/>
          <w:szCs w:val="20"/>
        </w:rPr>
        <w:t xml:space="preserve"> </w:t>
      </w:r>
    </w:p>
    <w:p w14:paraId="7426BBE2" w14:textId="77777777" w:rsidR="00436046" w:rsidRPr="00504485" w:rsidRDefault="00436046" w:rsidP="00436046">
      <w:pPr>
        <w:pStyle w:val="ListParagraph"/>
        <w:numPr>
          <w:ilvl w:val="0"/>
          <w:numId w:val="11"/>
        </w:numPr>
        <w:contextualSpacing w:val="0"/>
        <w:jc w:val="both"/>
        <w:rPr>
          <w:rFonts w:eastAsia="Times New Roman"/>
          <w:bCs/>
          <w:iCs/>
          <w:sz w:val="20"/>
          <w:szCs w:val="20"/>
        </w:rPr>
      </w:pPr>
      <w:r w:rsidRPr="00504485">
        <w:rPr>
          <w:rFonts w:eastAsia="Times New Roman"/>
          <w:bCs/>
          <w:iCs/>
          <w:sz w:val="20"/>
          <w:szCs w:val="20"/>
        </w:rPr>
        <w:t>Prior period accounts receivable adjustments;</w:t>
      </w:r>
    </w:p>
    <w:p w14:paraId="0D02B8B4" w14:textId="77777777" w:rsidR="00436046" w:rsidRPr="00504485" w:rsidRDefault="00436046" w:rsidP="00436046">
      <w:pPr>
        <w:pStyle w:val="ListParagraph"/>
        <w:numPr>
          <w:ilvl w:val="0"/>
          <w:numId w:val="11"/>
        </w:numPr>
        <w:contextualSpacing w:val="0"/>
        <w:jc w:val="both"/>
        <w:rPr>
          <w:rFonts w:eastAsia="Times New Roman"/>
          <w:bCs/>
          <w:iCs/>
          <w:sz w:val="20"/>
          <w:szCs w:val="20"/>
        </w:rPr>
      </w:pPr>
      <w:r w:rsidRPr="00504485">
        <w:rPr>
          <w:rFonts w:eastAsia="Times New Roman"/>
          <w:bCs/>
          <w:iCs/>
          <w:sz w:val="20"/>
          <w:szCs w:val="20"/>
        </w:rPr>
        <w:t>Self-pay and credit balances;</w:t>
      </w:r>
    </w:p>
    <w:p w14:paraId="3C747E93" w14:textId="77777777" w:rsidR="00436046" w:rsidRPr="00504485" w:rsidRDefault="00436046" w:rsidP="00436046">
      <w:pPr>
        <w:pStyle w:val="ListParagraph"/>
        <w:numPr>
          <w:ilvl w:val="0"/>
          <w:numId w:val="11"/>
        </w:numPr>
        <w:contextualSpacing w:val="0"/>
        <w:jc w:val="both"/>
        <w:rPr>
          <w:rFonts w:eastAsia="Times New Roman"/>
          <w:bCs/>
          <w:iCs/>
          <w:sz w:val="20"/>
          <w:szCs w:val="20"/>
        </w:rPr>
      </w:pPr>
      <w:r w:rsidRPr="00504485">
        <w:rPr>
          <w:rFonts w:eastAsia="Times New Roman"/>
          <w:bCs/>
          <w:iCs/>
          <w:sz w:val="20"/>
          <w:szCs w:val="20"/>
        </w:rPr>
        <w:t>Collection experience; and</w:t>
      </w:r>
    </w:p>
    <w:p w14:paraId="5C28952F" w14:textId="77777777" w:rsidR="00436046" w:rsidRPr="00504485" w:rsidRDefault="00436046" w:rsidP="00436046">
      <w:pPr>
        <w:pStyle w:val="ListParagraph"/>
        <w:numPr>
          <w:ilvl w:val="0"/>
          <w:numId w:val="11"/>
        </w:numPr>
        <w:contextualSpacing w:val="0"/>
        <w:jc w:val="both"/>
        <w:rPr>
          <w:rFonts w:eastAsia="Times New Roman"/>
          <w:bCs/>
          <w:iCs/>
          <w:sz w:val="20"/>
          <w:szCs w:val="20"/>
        </w:rPr>
      </w:pPr>
      <w:r w:rsidRPr="00504485">
        <w:rPr>
          <w:rFonts w:eastAsia="Times New Roman"/>
          <w:bCs/>
          <w:iCs/>
          <w:sz w:val="20"/>
          <w:szCs w:val="20"/>
        </w:rPr>
        <w:t>Other reserves and adjustments.</w:t>
      </w:r>
    </w:p>
    <w:p w14:paraId="1BF0065E" w14:textId="77777777" w:rsidR="00436046" w:rsidRPr="00504485" w:rsidRDefault="00436046" w:rsidP="00436046">
      <w:pPr>
        <w:pStyle w:val="ListParagraph"/>
        <w:rPr>
          <w:rFonts w:eastAsia="Times New Roman"/>
          <w:b/>
          <w:bCs/>
          <w:sz w:val="20"/>
          <w:szCs w:val="20"/>
          <w:u w:val="single"/>
        </w:rPr>
      </w:pPr>
    </w:p>
    <w:p w14:paraId="6230F2E7" w14:textId="77777777" w:rsidR="00436046" w:rsidRPr="00F87E06" w:rsidRDefault="00436046" w:rsidP="00436046">
      <w:pPr>
        <w:pStyle w:val="Bulletfornos"/>
        <w:numPr>
          <w:ilvl w:val="0"/>
          <w:numId w:val="2"/>
        </w:numPr>
        <w:spacing w:before="0"/>
        <w:rPr>
          <w:rFonts w:ascii="Arial" w:hAnsi="Arial" w:cs="Arial"/>
          <w:b/>
          <w:sz w:val="20"/>
        </w:rPr>
      </w:pPr>
      <w:r w:rsidRPr="00F87E06">
        <w:rPr>
          <w:rFonts w:ascii="Arial" w:hAnsi="Arial" w:cs="Arial"/>
          <w:b/>
          <w:sz w:val="20"/>
        </w:rPr>
        <w:t xml:space="preserve">Accounts payable and accrued liabilities analysis </w:t>
      </w:r>
    </w:p>
    <w:p w14:paraId="0AE36EF3" w14:textId="77777777" w:rsidR="00436046" w:rsidRPr="00504485" w:rsidRDefault="00436046" w:rsidP="00436046">
      <w:pPr>
        <w:pStyle w:val="ListParagraph"/>
        <w:spacing w:before="120"/>
        <w:ind w:left="346"/>
        <w:rPr>
          <w:rFonts w:eastAsia="Times New Roman"/>
          <w:bCs/>
          <w:sz w:val="20"/>
          <w:szCs w:val="20"/>
        </w:rPr>
      </w:pPr>
      <w:r w:rsidRPr="00504485">
        <w:rPr>
          <w:rFonts w:eastAsia="Times New Roman"/>
          <w:bCs/>
          <w:sz w:val="20"/>
          <w:szCs w:val="20"/>
        </w:rPr>
        <w:t>Obtain and read an analysis of Target’s accounts payable and accrued liabilities and inquire about:</w:t>
      </w:r>
    </w:p>
    <w:p w14:paraId="52240A63" w14:textId="77777777" w:rsidR="00436046" w:rsidRPr="00504485" w:rsidRDefault="00436046" w:rsidP="00436046">
      <w:pPr>
        <w:pStyle w:val="ListParagraph"/>
        <w:numPr>
          <w:ilvl w:val="0"/>
          <w:numId w:val="12"/>
        </w:numPr>
        <w:contextualSpacing w:val="0"/>
        <w:jc w:val="both"/>
        <w:rPr>
          <w:rFonts w:eastAsia="Times New Roman"/>
          <w:bCs/>
          <w:iCs/>
          <w:sz w:val="20"/>
          <w:szCs w:val="20"/>
        </w:rPr>
      </w:pPr>
      <w:r w:rsidRPr="00504485">
        <w:rPr>
          <w:rFonts w:eastAsia="Times New Roman"/>
          <w:bCs/>
          <w:iCs/>
          <w:sz w:val="20"/>
          <w:szCs w:val="20"/>
        </w:rPr>
        <w:t>Accounts payable aging;</w:t>
      </w:r>
    </w:p>
    <w:p w14:paraId="4BAF54F3" w14:textId="77777777" w:rsidR="00436046" w:rsidRPr="00504485" w:rsidRDefault="00436046" w:rsidP="00436046">
      <w:pPr>
        <w:pStyle w:val="ListParagraph"/>
        <w:numPr>
          <w:ilvl w:val="0"/>
          <w:numId w:val="12"/>
        </w:numPr>
        <w:contextualSpacing w:val="0"/>
        <w:jc w:val="both"/>
        <w:rPr>
          <w:rFonts w:eastAsia="Times New Roman"/>
          <w:bCs/>
          <w:iCs/>
          <w:sz w:val="20"/>
          <w:szCs w:val="20"/>
        </w:rPr>
      </w:pPr>
      <w:r w:rsidRPr="00504485">
        <w:rPr>
          <w:rFonts w:eastAsia="Times New Roman"/>
          <w:bCs/>
          <w:iCs/>
          <w:sz w:val="20"/>
          <w:szCs w:val="20"/>
        </w:rPr>
        <w:t xml:space="preserve">Accrued liabilities; </w:t>
      </w:r>
    </w:p>
    <w:p w14:paraId="205AD814" w14:textId="77777777" w:rsidR="00436046" w:rsidRPr="00504485" w:rsidRDefault="00436046" w:rsidP="00436046">
      <w:pPr>
        <w:pStyle w:val="ListParagraph"/>
        <w:numPr>
          <w:ilvl w:val="0"/>
          <w:numId w:val="12"/>
        </w:numPr>
        <w:contextualSpacing w:val="0"/>
        <w:jc w:val="both"/>
        <w:rPr>
          <w:rFonts w:eastAsia="Times New Roman"/>
          <w:bCs/>
          <w:iCs/>
          <w:sz w:val="20"/>
          <w:szCs w:val="20"/>
        </w:rPr>
      </w:pPr>
      <w:r w:rsidRPr="00504485">
        <w:rPr>
          <w:rFonts w:eastAsia="Times New Roman"/>
          <w:bCs/>
          <w:iCs/>
          <w:sz w:val="20"/>
          <w:szCs w:val="20"/>
        </w:rPr>
        <w:t>Deferred revenue; and</w:t>
      </w:r>
    </w:p>
    <w:p w14:paraId="58203D06" w14:textId="77777777" w:rsidR="00436046" w:rsidRPr="00504485" w:rsidRDefault="00436046" w:rsidP="00436046">
      <w:pPr>
        <w:pStyle w:val="ListParagraph"/>
        <w:numPr>
          <w:ilvl w:val="0"/>
          <w:numId w:val="12"/>
        </w:numPr>
        <w:contextualSpacing w:val="0"/>
        <w:jc w:val="both"/>
        <w:rPr>
          <w:rFonts w:eastAsia="Times New Roman"/>
          <w:bCs/>
          <w:iCs/>
          <w:sz w:val="20"/>
          <w:szCs w:val="20"/>
        </w:rPr>
      </w:pPr>
      <w:r w:rsidRPr="00504485">
        <w:rPr>
          <w:rFonts w:eastAsia="Times New Roman"/>
          <w:bCs/>
          <w:iCs/>
          <w:sz w:val="20"/>
          <w:szCs w:val="20"/>
        </w:rPr>
        <w:t>Other current and non-current liabilities.</w:t>
      </w:r>
    </w:p>
    <w:p w14:paraId="67D1ED23" w14:textId="77777777" w:rsidR="00436046" w:rsidRPr="00504485" w:rsidRDefault="00436046" w:rsidP="00436046">
      <w:pPr>
        <w:pStyle w:val="ListParagraph"/>
        <w:rPr>
          <w:rFonts w:eastAsia="Times New Roman"/>
          <w:bCs/>
          <w:sz w:val="20"/>
          <w:szCs w:val="20"/>
        </w:rPr>
      </w:pPr>
    </w:p>
    <w:p w14:paraId="5F22D426" w14:textId="77777777" w:rsidR="00436046" w:rsidRPr="00F87E06" w:rsidRDefault="00436046" w:rsidP="00436046">
      <w:pPr>
        <w:pStyle w:val="Bulletfornos"/>
        <w:numPr>
          <w:ilvl w:val="0"/>
          <w:numId w:val="2"/>
        </w:numPr>
        <w:spacing w:before="0"/>
        <w:rPr>
          <w:rFonts w:ascii="Arial" w:hAnsi="Arial" w:cs="Arial"/>
          <w:b/>
          <w:sz w:val="20"/>
        </w:rPr>
      </w:pPr>
      <w:r w:rsidRPr="00F87E06">
        <w:rPr>
          <w:rFonts w:ascii="Arial" w:hAnsi="Arial" w:cs="Arial"/>
          <w:b/>
          <w:sz w:val="20"/>
        </w:rPr>
        <w:t>Capital expenditure requirements</w:t>
      </w:r>
    </w:p>
    <w:p w14:paraId="56319A5C" w14:textId="77777777" w:rsidR="00436046" w:rsidRPr="00504485" w:rsidRDefault="00436046" w:rsidP="00436046">
      <w:pPr>
        <w:pStyle w:val="ListParagraph"/>
        <w:spacing w:before="120"/>
        <w:ind w:left="346"/>
        <w:rPr>
          <w:rFonts w:eastAsia="Times New Roman"/>
          <w:bCs/>
          <w:sz w:val="20"/>
          <w:szCs w:val="20"/>
        </w:rPr>
      </w:pPr>
      <w:r w:rsidRPr="00504485">
        <w:rPr>
          <w:rFonts w:eastAsia="Times New Roman"/>
          <w:bCs/>
          <w:sz w:val="20"/>
          <w:szCs w:val="20"/>
        </w:rPr>
        <w:t>Obtain and read an analysis of Target’s fixed assets, capital expenditures, and other assets and inquire about:</w:t>
      </w:r>
    </w:p>
    <w:p w14:paraId="47FB8C1F" w14:textId="77777777" w:rsidR="00436046" w:rsidRPr="00504485" w:rsidRDefault="00436046" w:rsidP="00436046">
      <w:pPr>
        <w:pStyle w:val="ListParagraph"/>
        <w:numPr>
          <w:ilvl w:val="0"/>
          <w:numId w:val="13"/>
        </w:numPr>
        <w:contextualSpacing w:val="0"/>
        <w:jc w:val="both"/>
        <w:rPr>
          <w:rFonts w:eastAsia="Times New Roman"/>
          <w:bCs/>
          <w:iCs/>
          <w:sz w:val="20"/>
          <w:szCs w:val="20"/>
        </w:rPr>
      </w:pPr>
      <w:r w:rsidRPr="00504485">
        <w:rPr>
          <w:rFonts w:eastAsia="Times New Roman"/>
          <w:bCs/>
          <w:iCs/>
          <w:sz w:val="20"/>
          <w:szCs w:val="20"/>
        </w:rPr>
        <w:t>Historical, deferred and planned capital expenditures;</w:t>
      </w:r>
    </w:p>
    <w:p w14:paraId="183B4CCB" w14:textId="77777777" w:rsidR="00436046" w:rsidRPr="00504485" w:rsidRDefault="00436046" w:rsidP="00436046">
      <w:pPr>
        <w:pStyle w:val="ListParagraph"/>
        <w:numPr>
          <w:ilvl w:val="0"/>
          <w:numId w:val="13"/>
        </w:numPr>
        <w:contextualSpacing w:val="0"/>
        <w:jc w:val="both"/>
        <w:rPr>
          <w:rFonts w:eastAsia="Times New Roman"/>
          <w:bCs/>
          <w:iCs/>
          <w:sz w:val="20"/>
          <w:szCs w:val="20"/>
        </w:rPr>
      </w:pPr>
      <w:r w:rsidRPr="00504485">
        <w:rPr>
          <w:rFonts w:eastAsia="Times New Roman"/>
          <w:bCs/>
          <w:iCs/>
          <w:sz w:val="20"/>
          <w:szCs w:val="20"/>
        </w:rPr>
        <w:t>Capitalized internal labor;</w:t>
      </w:r>
    </w:p>
    <w:p w14:paraId="35FDBED2" w14:textId="77777777" w:rsidR="00436046" w:rsidRPr="00504485" w:rsidRDefault="00436046" w:rsidP="00436046">
      <w:pPr>
        <w:pStyle w:val="ListParagraph"/>
        <w:numPr>
          <w:ilvl w:val="0"/>
          <w:numId w:val="13"/>
        </w:numPr>
        <w:contextualSpacing w:val="0"/>
        <w:jc w:val="both"/>
        <w:rPr>
          <w:rFonts w:eastAsia="Times New Roman"/>
          <w:bCs/>
          <w:iCs/>
          <w:sz w:val="20"/>
          <w:szCs w:val="20"/>
        </w:rPr>
      </w:pPr>
      <w:r w:rsidRPr="00504485">
        <w:rPr>
          <w:rFonts w:eastAsia="Times New Roman"/>
          <w:bCs/>
          <w:iCs/>
          <w:sz w:val="20"/>
          <w:szCs w:val="20"/>
        </w:rPr>
        <w:t xml:space="preserve">Under-utilized assets; and </w:t>
      </w:r>
    </w:p>
    <w:p w14:paraId="628E452B" w14:textId="77777777" w:rsidR="00436046" w:rsidRDefault="00436046" w:rsidP="00436046">
      <w:pPr>
        <w:pStyle w:val="ListParagraph"/>
        <w:numPr>
          <w:ilvl w:val="0"/>
          <w:numId w:val="13"/>
        </w:numPr>
        <w:contextualSpacing w:val="0"/>
        <w:jc w:val="both"/>
        <w:rPr>
          <w:rFonts w:eastAsia="Times New Roman"/>
          <w:bCs/>
          <w:iCs/>
          <w:sz w:val="20"/>
          <w:szCs w:val="20"/>
        </w:rPr>
      </w:pPr>
      <w:r w:rsidRPr="00504485">
        <w:rPr>
          <w:rFonts w:eastAsia="Times New Roman"/>
          <w:bCs/>
          <w:iCs/>
          <w:sz w:val="20"/>
          <w:szCs w:val="20"/>
        </w:rPr>
        <w:t>Impairment write-downs and issues.</w:t>
      </w:r>
    </w:p>
    <w:p w14:paraId="07007C62" w14:textId="77777777" w:rsidR="00436046" w:rsidRPr="00496573" w:rsidRDefault="00436046" w:rsidP="00436046">
      <w:pPr>
        <w:rPr>
          <w:rFonts w:eastAsia="Times New Roman"/>
          <w:bCs/>
          <w:iCs/>
          <w:sz w:val="20"/>
          <w:szCs w:val="20"/>
        </w:rPr>
      </w:pPr>
    </w:p>
    <w:p w14:paraId="572B5FDD" w14:textId="77777777" w:rsidR="00436046" w:rsidRPr="00F87E06" w:rsidRDefault="00436046" w:rsidP="00436046">
      <w:pPr>
        <w:pStyle w:val="Bulletfornos"/>
        <w:numPr>
          <w:ilvl w:val="0"/>
          <w:numId w:val="2"/>
        </w:numPr>
        <w:spacing w:before="0"/>
        <w:rPr>
          <w:rFonts w:ascii="Arial" w:hAnsi="Arial" w:cs="Arial"/>
          <w:b/>
          <w:sz w:val="20"/>
        </w:rPr>
      </w:pPr>
      <w:r w:rsidRPr="00F87E06">
        <w:rPr>
          <w:rFonts w:ascii="Arial" w:hAnsi="Arial" w:cs="Arial"/>
          <w:b/>
          <w:sz w:val="20"/>
        </w:rPr>
        <w:t xml:space="preserve">Net debt / debt-like items </w:t>
      </w:r>
    </w:p>
    <w:p w14:paraId="36098863" w14:textId="77777777" w:rsidR="00436046" w:rsidRPr="00504485" w:rsidRDefault="00436046" w:rsidP="00436046">
      <w:pPr>
        <w:pStyle w:val="ListParagraph"/>
        <w:spacing w:before="120"/>
        <w:ind w:left="346"/>
        <w:rPr>
          <w:rFonts w:eastAsia="Times New Roman"/>
          <w:bCs/>
          <w:sz w:val="20"/>
          <w:szCs w:val="20"/>
        </w:rPr>
      </w:pPr>
      <w:r w:rsidRPr="00504485">
        <w:rPr>
          <w:rFonts w:eastAsia="Times New Roman"/>
          <w:bCs/>
          <w:sz w:val="20"/>
          <w:szCs w:val="20"/>
        </w:rPr>
        <w:t>Obtain, read, and discuss with management net debt and debt-like items, whether recorded on the balance sheet or off-balance sheet, including the expected future payout timing and amounts.</w:t>
      </w:r>
    </w:p>
    <w:p w14:paraId="26C21568" w14:textId="77777777" w:rsidR="00436046" w:rsidRPr="00504485" w:rsidRDefault="00436046" w:rsidP="00436046">
      <w:pPr>
        <w:pStyle w:val="ListParagraph"/>
        <w:rPr>
          <w:rFonts w:eastAsia="Times New Roman"/>
          <w:bCs/>
          <w:sz w:val="20"/>
          <w:szCs w:val="20"/>
        </w:rPr>
      </w:pPr>
    </w:p>
    <w:p w14:paraId="7EBC0FA5" w14:textId="77777777" w:rsidR="00436046" w:rsidRPr="00F87E06" w:rsidRDefault="00436046" w:rsidP="0054309C">
      <w:pPr>
        <w:pStyle w:val="Bulletfornos"/>
        <w:keepNext/>
        <w:numPr>
          <w:ilvl w:val="0"/>
          <w:numId w:val="2"/>
        </w:numPr>
        <w:spacing w:before="0"/>
        <w:ind w:left="346" w:hanging="346"/>
        <w:rPr>
          <w:rFonts w:ascii="Arial" w:hAnsi="Arial" w:cs="Arial"/>
          <w:b/>
          <w:sz w:val="20"/>
        </w:rPr>
      </w:pPr>
      <w:r w:rsidRPr="00F87E06">
        <w:rPr>
          <w:rFonts w:ascii="Arial" w:hAnsi="Arial" w:cs="Arial"/>
          <w:b/>
          <w:sz w:val="20"/>
        </w:rPr>
        <w:lastRenderedPageBreak/>
        <w:t xml:space="preserve">Commitment and contingencies </w:t>
      </w:r>
    </w:p>
    <w:p w14:paraId="0FB1171E" w14:textId="77777777" w:rsidR="00436046" w:rsidRPr="00504485" w:rsidRDefault="00436046" w:rsidP="00436046">
      <w:pPr>
        <w:pStyle w:val="ListParagraph"/>
        <w:spacing w:before="120"/>
        <w:ind w:left="346"/>
        <w:rPr>
          <w:rFonts w:eastAsia="Times New Roman"/>
          <w:bCs/>
          <w:sz w:val="20"/>
          <w:szCs w:val="20"/>
        </w:rPr>
      </w:pPr>
      <w:r w:rsidRPr="00504485">
        <w:rPr>
          <w:rFonts w:eastAsia="Times New Roman"/>
          <w:bCs/>
          <w:sz w:val="20"/>
          <w:szCs w:val="20"/>
        </w:rPr>
        <w:t>Inquire about significant commitments and contingent liabilities including:</w:t>
      </w:r>
    </w:p>
    <w:p w14:paraId="17D09C36"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Debt;</w:t>
      </w:r>
    </w:p>
    <w:p w14:paraId="390593F1"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Self-insurance;</w:t>
      </w:r>
    </w:p>
    <w:p w14:paraId="2609539A"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Post-retirement benefits;</w:t>
      </w:r>
    </w:p>
    <w:p w14:paraId="4ED9069F"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Incentive compensation plans;</w:t>
      </w:r>
    </w:p>
    <w:p w14:paraId="76DFED22"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Leases;</w:t>
      </w:r>
    </w:p>
    <w:p w14:paraId="0799165C"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 xml:space="preserve">Pending or threatened litigation or investigations by regulatory or other authorities; </w:t>
      </w:r>
    </w:p>
    <w:p w14:paraId="16FB7535"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Capital expenditures; and</w:t>
      </w:r>
    </w:p>
    <w:p w14:paraId="47CC250E" w14:textId="77777777" w:rsidR="00436046" w:rsidRPr="00436046" w:rsidRDefault="00436046" w:rsidP="00436046">
      <w:pPr>
        <w:pStyle w:val="ListParagraph"/>
        <w:numPr>
          <w:ilvl w:val="0"/>
          <w:numId w:val="15"/>
        </w:numPr>
        <w:contextualSpacing w:val="0"/>
        <w:jc w:val="both"/>
        <w:rPr>
          <w:rFonts w:eastAsia="Times New Roman"/>
          <w:bCs/>
          <w:iCs/>
          <w:sz w:val="20"/>
          <w:szCs w:val="20"/>
        </w:rPr>
      </w:pPr>
      <w:r w:rsidRPr="00436046">
        <w:rPr>
          <w:rFonts w:eastAsia="Times New Roman"/>
          <w:bCs/>
          <w:iCs/>
          <w:sz w:val="20"/>
          <w:szCs w:val="20"/>
        </w:rPr>
        <w:t>Other significant and/or unusual liabilities.</w:t>
      </w:r>
    </w:p>
    <w:p w14:paraId="7DB669C4" w14:textId="77777777" w:rsidR="00436046" w:rsidRPr="00A6563C" w:rsidRDefault="00436046" w:rsidP="00436046">
      <w:pPr>
        <w:rPr>
          <w:rFonts w:eastAsia="Times New Roman"/>
          <w:bCs/>
          <w:sz w:val="20"/>
          <w:szCs w:val="20"/>
        </w:rPr>
      </w:pPr>
    </w:p>
    <w:p w14:paraId="007D0F24" w14:textId="77777777" w:rsidR="00436046" w:rsidRPr="00436046" w:rsidRDefault="00436046" w:rsidP="00436046">
      <w:pPr>
        <w:pStyle w:val="Bulletfornos"/>
        <w:numPr>
          <w:ilvl w:val="0"/>
          <w:numId w:val="2"/>
        </w:numPr>
        <w:spacing w:before="0"/>
        <w:rPr>
          <w:rFonts w:ascii="Arial" w:hAnsi="Arial" w:cs="Arial"/>
          <w:b/>
          <w:sz w:val="20"/>
        </w:rPr>
      </w:pPr>
      <w:r w:rsidRPr="00F87E06">
        <w:rPr>
          <w:rFonts w:ascii="Arial" w:hAnsi="Arial" w:cs="Arial"/>
          <w:b/>
          <w:sz w:val="20"/>
        </w:rPr>
        <w:t xml:space="preserve">Purchase and Sale Agreement </w:t>
      </w:r>
      <w:r w:rsidRPr="00436046">
        <w:rPr>
          <w:rFonts w:ascii="Arial" w:hAnsi="Arial" w:cs="Arial"/>
          <w:b/>
          <w:sz w:val="20"/>
        </w:rPr>
        <w:t xml:space="preserve">(Optional) </w:t>
      </w:r>
    </w:p>
    <w:p w14:paraId="5591DD1E" w14:textId="7F516CF7" w:rsidR="00436046" w:rsidRDefault="00436046" w:rsidP="0054309C">
      <w:pPr>
        <w:pStyle w:val="ListParagraph"/>
        <w:spacing w:before="120"/>
        <w:ind w:left="346"/>
        <w:rPr>
          <w:rFonts w:eastAsia="Times New Roman"/>
          <w:bCs/>
          <w:i/>
          <w:iCs/>
          <w:sz w:val="20"/>
          <w:szCs w:val="20"/>
        </w:rPr>
      </w:pPr>
      <w:r w:rsidRPr="00436046">
        <w:rPr>
          <w:rFonts w:eastAsia="Times New Roman"/>
          <w:bCs/>
          <w:sz w:val="20"/>
          <w:szCs w:val="20"/>
        </w:rPr>
        <w:t xml:space="preserve">Read available draft of the Purchase and Sale Agreement and offer commentary to you and your attorneys primarily concerning sections relating to accounting matters, based on the results of the due diligence assistance we provide to you. </w:t>
      </w:r>
      <w:r w:rsidRPr="007A4B0A">
        <w:rPr>
          <w:rFonts w:eastAsia="Times New Roman"/>
          <w:bCs/>
          <w:i/>
          <w:iCs/>
          <w:sz w:val="20"/>
          <w:szCs w:val="20"/>
        </w:rPr>
        <w:t>You agree to review with your attorney all our comments and suggestions concerning the Purchase and Sale agreement before acting on any of our suggestions.</w:t>
      </w:r>
      <w:bookmarkEnd w:id="1"/>
    </w:p>
    <w:p w14:paraId="751136C0" w14:textId="77777777" w:rsidR="00727D2F" w:rsidRPr="00504485" w:rsidRDefault="00727D2F" w:rsidP="0054309C">
      <w:pPr>
        <w:pStyle w:val="ListParagraph"/>
        <w:spacing w:before="120"/>
        <w:ind w:left="346"/>
      </w:pPr>
    </w:p>
    <w:p w14:paraId="3DB8D3F4" w14:textId="320C710F" w:rsidR="00727D2F" w:rsidRPr="00436046" w:rsidRDefault="00727D2F" w:rsidP="006C60A1">
      <w:pPr>
        <w:pStyle w:val="Bulletfornos"/>
        <w:numPr>
          <w:ilvl w:val="0"/>
          <w:numId w:val="2"/>
        </w:numPr>
        <w:spacing w:before="0"/>
        <w:rPr>
          <w:rFonts w:ascii="Arial" w:hAnsi="Arial" w:cs="Arial"/>
          <w:b/>
          <w:sz w:val="20"/>
        </w:rPr>
      </w:pPr>
      <w:r>
        <w:rPr>
          <w:rFonts w:ascii="Arial" w:hAnsi="Arial" w:cs="Arial"/>
          <w:b/>
          <w:sz w:val="20"/>
        </w:rPr>
        <w:t>Waterfall Revenue Analysis</w:t>
      </w:r>
      <w:r w:rsidRPr="00F87E06">
        <w:rPr>
          <w:rFonts w:ascii="Arial" w:hAnsi="Arial" w:cs="Arial"/>
          <w:b/>
          <w:sz w:val="20"/>
        </w:rPr>
        <w:t xml:space="preserve"> </w:t>
      </w:r>
      <w:r w:rsidRPr="00436046">
        <w:rPr>
          <w:rFonts w:ascii="Arial" w:hAnsi="Arial" w:cs="Arial"/>
          <w:b/>
          <w:sz w:val="20"/>
        </w:rPr>
        <w:t xml:space="preserve">(Optional) </w:t>
      </w:r>
    </w:p>
    <w:p w14:paraId="0520B441" w14:textId="77777777" w:rsidR="00727D2F" w:rsidRPr="00727D2F" w:rsidRDefault="00727D2F" w:rsidP="006C60A1">
      <w:pPr>
        <w:ind w:left="340"/>
        <w:rPr>
          <w:rFonts w:eastAsia="Times New Roman"/>
          <w:bCs/>
          <w:sz w:val="20"/>
          <w:szCs w:val="20"/>
        </w:rPr>
      </w:pPr>
      <w:r w:rsidRPr="00727D2F">
        <w:rPr>
          <w:rFonts w:eastAsia="Times New Roman"/>
          <w:bCs/>
          <w:sz w:val="20"/>
          <w:szCs w:val="20"/>
        </w:rPr>
        <w:t>If available, obtain patient/encounter-level detail from the billing and collections systems utilized by Target to perform a claims-level revenue analysis reflecting net cash received on closed claims, and estimated cash expected to be received on open claims (based on historical reimbursement trends). Discuss with management:</w:t>
      </w:r>
    </w:p>
    <w:p w14:paraId="52AFC774" w14:textId="680215B0"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Drivers of monthly/quarterly/annual net revenue trends:</w:t>
      </w:r>
    </w:p>
    <w:p w14:paraId="3C837C91" w14:textId="2F126F43" w:rsidR="00727D2F" w:rsidRPr="005E686C" w:rsidRDefault="00727D2F" w:rsidP="006C60A1">
      <w:pPr>
        <w:pStyle w:val="ListParagraph"/>
        <w:numPr>
          <w:ilvl w:val="1"/>
          <w:numId w:val="20"/>
        </w:numPr>
        <w:contextualSpacing w:val="0"/>
        <w:rPr>
          <w:rFonts w:eastAsia="Times New Roman"/>
          <w:bCs/>
          <w:iCs/>
          <w:sz w:val="20"/>
          <w:szCs w:val="20"/>
        </w:rPr>
      </w:pPr>
      <w:r w:rsidRPr="005E686C">
        <w:rPr>
          <w:rFonts w:eastAsia="Times New Roman"/>
          <w:bCs/>
          <w:iCs/>
          <w:sz w:val="20"/>
          <w:szCs w:val="20"/>
        </w:rPr>
        <w:t>By location</w:t>
      </w:r>
      <w:r>
        <w:rPr>
          <w:rFonts w:eastAsia="Times New Roman"/>
          <w:bCs/>
          <w:iCs/>
          <w:sz w:val="20"/>
          <w:szCs w:val="20"/>
        </w:rPr>
        <w:t xml:space="preserve"> (</w:t>
      </w:r>
      <w:r w:rsidRPr="00727D2F">
        <w:rPr>
          <w:rFonts w:eastAsia="Times New Roman"/>
          <w:bCs/>
          <w:iCs/>
          <w:sz w:val="20"/>
          <w:szCs w:val="20"/>
        </w:rPr>
        <w:t>8 clinic locations and 2 de novo locations</w:t>
      </w:r>
      <w:r>
        <w:rPr>
          <w:rFonts w:eastAsia="Times New Roman"/>
          <w:bCs/>
          <w:iCs/>
          <w:sz w:val="20"/>
          <w:szCs w:val="20"/>
        </w:rPr>
        <w:t>)</w:t>
      </w:r>
      <w:r w:rsidRPr="005E686C">
        <w:rPr>
          <w:rFonts w:eastAsia="Times New Roman"/>
          <w:bCs/>
          <w:iCs/>
          <w:sz w:val="20"/>
          <w:szCs w:val="20"/>
        </w:rPr>
        <w:t>;</w:t>
      </w:r>
    </w:p>
    <w:p w14:paraId="1B4E8ED6" w14:textId="2C841138" w:rsidR="00727D2F" w:rsidRPr="005E686C" w:rsidRDefault="00727D2F" w:rsidP="006C60A1">
      <w:pPr>
        <w:pStyle w:val="ListParagraph"/>
        <w:numPr>
          <w:ilvl w:val="1"/>
          <w:numId w:val="20"/>
        </w:numPr>
        <w:contextualSpacing w:val="0"/>
        <w:rPr>
          <w:rFonts w:eastAsia="Times New Roman"/>
          <w:bCs/>
          <w:iCs/>
          <w:sz w:val="20"/>
          <w:szCs w:val="20"/>
        </w:rPr>
      </w:pPr>
      <w:r w:rsidRPr="005E686C">
        <w:rPr>
          <w:rFonts w:eastAsia="Times New Roman"/>
          <w:bCs/>
          <w:iCs/>
          <w:sz w:val="20"/>
          <w:szCs w:val="20"/>
        </w:rPr>
        <w:t>By significant payor; and</w:t>
      </w:r>
    </w:p>
    <w:p w14:paraId="2FCA5826" w14:textId="1D34E4E0" w:rsidR="00727D2F" w:rsidRPr="005E686C" w:rsidRDefault="00727D2F" w:rsidP="006C60A1">
      <w:pPr>
        <w:pStyle w:val="ListParagraph"/>
        <w:numPr>
          <w:ilvl w:val="1"/>
          <w:numId w:val="20"/>
        </w:numPr>
        <w:contextualSpacing w:val="0"/>
        <w:rPr>
          <w:rFonts w:eastAsia="Times New Roman"/>
          <w:bCs/>
          <w:iCs/>
          <w:sz w:val="20"/>
          <w:szCs w:val="20"/>
        </w:rPr>
      </w:pPr>
      <w:r w:rsidRPr="005E686C">
        <w:rPr>
          <w:rFonts w:eastAsia="Times New Roman"/>
          <w:bCs/>
          <w:iCs/>
          <w:sz w:val="20"/>
          <w:szCs w:val="20"/>
        </w:rPr>
        <w:t>By significant service code.</w:t>
      </w:r>
    </w:p>
    <w:p w14:paraId="00A46A52" w14:textId="557F691A"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Reimbursement trends by payor, by service, and by location;</w:t>
      </w:r>
    </w:p>
    <w:p w14:paraId="3E8F8E53" w14:textId="52134BF3"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Pricing/volume trends by location by payor by service;</w:t>
      </w:r>
    </w:p>
    <w:p w14:paraId="2453EB62" w14:textId="038A0684"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Payor mix in total and by location;</w:t>
      </w:r>
    </w:p>
    <w:p w14:paraId="4279DCC0" w14:textId="76EF2B79"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Trends and drivers of fluctuation in the cash collection cycle;</w:t>
      </w:r>
    </w:p>
    <w:p w14:paraId="58169CE5" w14:textId="7118A44D"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Reconciliation of cash collections reported in the billing system to third-party bank statements (on a sample basis);</w:t>
      </w:r>
    </w:p>
    <w:p w14:paraId="768DF3A6" w14:textId="59640D51"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Reconciliation of billing and collection information to financial statements</w:t>
      </w:r>
      <w:r w:rsidR="00607EA3">
        <w:rPr>
          <w:rFonts w:eastAsia="Times New Roman"/>
          <w:bCs/>
          <w:iCs/>
          <w:sz w:val="20"/>
          <w:szCs w:val="20"/>
        </w:rPr>
        <w:t>; and</w:t>
      </w:r>
    </w:p>
    <w:p w14:paraId="3EC92E2D" w14:textId="22B7883E" w:rsidR="00727D2F" w:rsidRPr="005E686C" w:rsidRDefault="00727D2F" w:rsidP="006C60A1">
      <w:pPr>
        <w:pStyle w:val="ListParagraph"/>
        <w:numPr>
          <w:ilvl w:val="0"/>
          <w:numId w:val="20"/>
        </w:numPr>
        <w:contextualSpacing w:val="0"/>
        <w:rPr>
          <w:rFonts w:eastAsia="Times New Roman"/>
          <w:bCs/>
          <w:iCs/>
          <w:sz w:val="20"/>
          <w:szCs w:val="20"/>
        </w:rPr>
      </w:pPr>
      <w:r w:rsidRPr="005E686C">
        <w:rPr>
          <w:rFonts w:eastAsia="Times New Roman"/>
          <w:bCs/>
          <w:iCs/>
          <w:sz w:val="20"/>
          <w:szCs w:val="20"/>
        </w:rPr>
        <w:t>Bridge revenue for the following changes:</w:t>
      </w:r>
    </w:p>
    <w:p w14:paraId="46FD4C63" w14:textId="7446A5AF" w:rsidR="00727D2F" w:rsidRPr="005E686C" w:rsidRDefault="00727D2F" w:rsidP="006C60A1">
      <w:pPr>
        <w:pStyle w:val="ListParagraph"/>
        <w:numPr>
          <w:ilvl w:val="1"/>
          <w:numId w:val="20"/>
        </w:numPr>
        <w:contextualSpacing w:val="0"/>
        <w:rPr>
          <w:rFonts w:eastAsia="Times New Roman"/>
          <w:bCs/>
          <w:iCs/>
          <w:sz w:val="20"/>
          <w:szCs w:val="20"/>
        </w:rPr>
      </w:pPr>
      <w:r w:rsidRPr="005E686C">
        <w:rPr>
          <w:rFonts w:eastAsia="Times New Roman"/>
          <w:bCs/>
          <w:iCs/>
          <w:sz w:val="20"/>
          <w:szCs w:val="20"/>
        </w:rPr>
        <w:t>Patient volumes;</w:t>
      </w:r>
    </w:p>
    <w:p w14:paraId="7E685C36" w14:textId="427C8C81" w:rsidR="00727D2F" w:rsidRPr="005E686C" w:rsidRDefault="00727D2F" w:rsidP="006C60A1">
      <w:pPr>
        <w:pStyle w:val="ListParagraph"/>
        <w:numPr>
          <w:ilvl w:val="1"/>
          <w:numId w:val="20"/>
        </w:numPr>
        <w:contextualSpacing w:val="0"/>
        <w:rPr>
          <w:rFonts w:eastAsia="Times New Roman"/>
          <w:bCs/>
          <w:iCs/>
          <w:sz w:val="20"/>
          <w:szCs w:val="20"/>
        </w:rPr>
      </w:pPr>
      <w:r w:rsidRPr="005E686C">
        <w:rPr>
          <w:rFonts w:eastAsia="Times New Roman"/>
          <w:bCs/>
          <w:iCs/>
          <w:sz w:val="20"/>
          <w:szCs w:val="20"/>
        </w:rPr>
        <w:t>Same store, de novo, and acquired facilities; and</w:t>
      </w:r>
    </w:p>
    <w:p w14:paraId="22A148C1" w14:textId="358E3A7E" w:rsidR="00812A5C" w:rsidRPr="005E686C" w:rsidRDefault="00727D2F" w:rsidP="006C60A1">
      <w:pPr>
        <w:pStyle w:val="ListParagraph"/>
        <w:numPr>
          <w:ilvl w:val="1"/>
          <w:numId w:val="20"/>
        </w:numPr>
        <w:contextualSpacing w:val="0"/>
        <w:rPr>
          <w:rFonts w:eastAsia="Times New Roman"/>
          <w:bCs/>
          <w:iCs/>
          <w:sz w:val="20"/>
          <w:szCs w:val="20"/>
        </w:rPr>
      </w:pPr>
      <w:r w:rsidRPr="005E686C">
        <w:rPr>
          <w:rFonts w:eastAsia="Times New Roman"/>
          <w:bCs/>
          <w:iCs/>
          <w:sz w:val="20"/>
          <w:szCs w:val="20"/>
        </w:rPr>
        <w:t>Changes in direct and indirect operating expense</w:t>
      </w:r>
    </w:p>
    <w:sectPr w:rsidR="00812A5C" w:rsidRPr="005E6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A74"/>
    <w:multiLevelType w:val="multilevel"/>
    <w:tmpl w:val="57C244F8"/>
    <w:lvl w:ilvl="0">
      <w:start w:val="1"/>
      <w:numFmt w:val="decimal"/>
      <w:lvlText w:val="%1."/>
      <w:lvlJc w:val="left"/>
      <w:pPr>
        <w:tabs>
          <w:tab w:val="num" w:pos="340"/>
        </w:tabs>
        <w:ind w:left="340" w:hanging="340"/>
      </w:pPr>
    </w:lvl>
    <w:lvl w:ilvl="1">
      <w:start w:val="1"/>
      <w:numFmt w:val="lowerLetter"/>
      <w:lvlText w:val="%2."/>
      <w:lvlJc w:val="left"/>
      <w:pPr>
        <w:tabs>
          <w:tab w:val="num" w:pos="680"/>
        </w:tabs>
        <w:ind w:left="680" w:hanging="340"/>
      </w:pPr>
      <w:rPr>
        <w:sz w:val="20"/>
        <w:szCs w:val="20"/>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 w15:restartNumberingAfterBreak="0">
    <w:nsid w:val="0F362B3A"/>
    <w:multiLevelType w:val="multilevel"/>
    <w:tmpl w:val="4648A99A"/>
    <w:lvl w:ilvl="0">
      <w:start w:val="1"/>
      <w:numFmt w:val="decimal"/>
      <w:lvlText w:val="%1."/>
      <w:lvlJc w:val="left"/>
      <w:pPr>
        <w:tabs>
          <w:tab w:val="num" w:pos="340"/>
        </w:tabs>
        <w:ind w:left="340" w:hanging="340"/>
      </w:pPr>
    </w:lvl>
    <w:lvl w:ilvl="1">
      <w:start w:val="1"/>
      <w:numFmt w:val="lowerLetter"/>
      <w:lvlText w:val="%2)"/>
      <w:lvlJc w:val="left"/>
      <w:pPr>
        <w:ind w:left="700" w:hanging="360"/>
      </w:p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 w15:restartNumberingAfterBreak="0">
    <w:nsid w:val="13CE7874"/>
    <w:multiLevelType w:val="multilevel"/>
    <w:tmpl w:val="7A1AB91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3" w15:restartNumberingAfterBreak="0">
    <w:nsid w:val="161D1885"/>
    <w:multiLevelType w:val="multilevel"/>
    <w:tmpl w:val="E770410C"/>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6F54BEC"/>
    <w:multiLevelType w:val="multilevel"/>
    <w:tmpl w:val="E770410C"/>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8116CF"/>
    <w:multiLevelType w:val="multilevel"/>
    <w:tmpl w:val="E770410C"/>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045724F"/>
    <w:multiLevelType w:val="hybridMultilevel"/>
    <w:tmpl w:val="10583ECA"/>
    <w:lvl w:ilvl="0" w:tplc="3CC82658">
      <w:start w:val="1"/>
      <w:numFmt w:val="bullet"/>
      <w:lvlText w:val="•"/>
      <w:lvlJc w:val="left"/>
      <w:pPr>
        <w:tabs>
          <w:tab w:val="num" w:pos="720"/>
        </w:tabs>
        <w:ind w:left="720" w:hanging="360"/>
      </w:pPr>
      <w:rPr>
        <w:rFonts w:ascii="Arial" w:hAnsi="Arial" w:hint="default"/>
      </w:rPr>
    </w:lvl>
    <w:lvl w:ilvl="1" w:tplc="56D0D974">
      <w:start w:val="1"/>
      <w:numFmt w:val="bullet"/>
      <w:lvlText w:val="•"/>
      <w:lvlJc w:val="left"/>
      <w:pPr>
        <w:tabs>
          <w:tab w:val="num" w:pos="1440"/>
        </w:tabs>
        <w:ind w:left="1440" w:hanging="360"/>
      </w:pPr>
      <w:rPr>
        <w:rFonts w:ascii="Arial" w:hAnsi="Arial" w:hint="default"/>
      </w:rPr>
    </w:lvl>
    <w:lvl w:ilvl="2" w:tplc="EEA01A72" w:tentative="1">
      <w:start w:val="1"/>
      <w:numFmt w:val="bullet"/>
      <w:lvlText w:val="•"/>
      <w:lvlJc w:val="left"/>
      <w:pPr>
        <w:tabs>
          <w:tab w:val="num" w:pos="2160"/>
        </w:tabs>
        <w:ind w:left="2160" w:hanging="360"/>
      </w:pPr>
      <w:rPr>
        <w:rFonts w:ascii="Arial" w:hAnsi="Arial" w:hint="default"/>
      </w:rPr>
    </w:lvl>
    <w:lvl w:ilvl="3" w:tplc="DD64EDB6" w:tentative="1">
      <w:start w:val="1"/>
      <w:numFmt w:val="bullet"/>
      <w:lvlText w:val="•"/>
      <w:lvlJc w:val="left"/>
      <w:pPr>
        <w:tabs>
          <w:tab w:val="num" w:pos="2880"/>
        </w:tabs>
        <w:ind w:left="2880" w:hanging="360"/>
      </w:pPr>
      <w:rPr>
        <w:rFonts w:ascii="Arial" w:hAnsi="Arial" w:hint="default"/>
      </w:rPr>
    </w:lvl>
    <w:lvl w:ilvl="4" w:tplc="E07A5FC2" w:tentative="1">
      <w:start w:val="1"/>
      <w:numFmt w:val="bullet"/>
      <w:lvlText w:val="•"/>
      <w:lvlJc w:val="left"/>
      <w:pPr>
        <w:tabs>
          <w:tab w:val="num" w:pos="3600"/>
        </w:tabs>
        <w:ind w:left="3600" w:hanging="360"/>
      </w:pPr>
      <w:rPr>
        <w:rFonts w:ascii="Arial" w:hAnsi="Arial" w:hint="default"/>
      </w:rPr>
    </w:lvl>
    <w:lvl w:ilvl="5" w:tplc="009242C2" w:tentative="1">
      <w:start w:val="1"/>
      <w:numFmt w:val="bullet"/>
      <w:lvlText w:val="•"/>
      <w:lvlJc w:val="left"/>
      <w:pPr>
        <w:tabs>
          <w:tab w:val="num" w:pos="4320"/>
        </w:tabs>
        <w:ind w:left="4320" w:hanging="360"/>
      </w:pPr>
      <w:rPr>
        <w:rFonts w:ascii="Arial" w:hAnsi="Arial" w:hint="default"/>
      </w:rPr>
    </w:lvl>
    <w:lvl w:ilvl="6" w:tplc="78B090E6" w:tentative="1">
      <w:start w:val="1"/>
      <w:numFmt w:val="bullet"/>
      <w:lvlText w:val="•"/>
      <w:lvlJc w:val="left"/>
      <w:pPr>
        <w:tabs>
          <w:tab w:val="num" w:pos="5040"/>
        </w:tabs>
        <w:ind w:left="5040" w:hanging="360"/>
      </w:pPr>
      <w:rPr>
        <w:rFonts w:ascii="Arial" w:hAnsi="Arial" w:hint="default"/>
      </w:rPr>
    </w:lvl>
    <w:lvl w:ilvl="7" w:tplc="6D027AD0" w:tentative="1">
      <w:start w:val="1"/>
      <w:numFmt w:val="bullet"/>
      <w:lvlText w:val="•"/>
      <w:lvlJc w:val="left"/>
      <w:pPr>
        <w:tabs>
          <w:tab w:val="num" w:pos="5760"/>
        </w:tabs>
        <w:ind w:left="5760" w:hanging="360"/>
      </w:pPr>
      <w:rPr>
        <w:rFonts w:ascii="Arial" w:hAnsi="Arial" w:hint="default"/>
      </w:rPr>
    </w:lvl>
    <w:lvl w:ilvl="8" w:tplc="F60234C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47E01F9"/>
    <w:multiLevelType w:val="multilevel"/>
    <w:tmpl w:val="E770410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EC06DF"/>
    <w:multiLevelType w:val="multilevel"/>
    <w:tmpl w:val="E770410C"/>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AE349CD"/>
    <w:multiLevelType w:val="hybridMultilevel"/>
    <w:tmpl w:val="E770410C"/>
    <w:lvl w:ilvl="0" w:tplc="04090017">
      <w:start w:val="1"/>
      <w:numFmt w:val="lowerLetter"/>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5B50443"/>
    <w:multiLevelType w:val="multilevel"/>
    <w:tmpl w:val="F95841AE"/>
    <w:lvl w:ilvl="0">
      <w:start w:val="1"/>
      <w:numFmt w:val="decimal"/>
      <w:lvlText w:val="%1."/>
      <w:lvlJc w:val="left"/>
      <w:pPr>
        <w:tabs>
          <w:tab w:val="num" w:pos="340"/>
        </w:tabs>
        <w:ind w:left="340" w:hanging="340"/>
      </w:pPr>
      <w:rPr>
        <w:rFonts w:hint="default"/>
        <w:b/>
        <w:bCs/>
        <w:i w:val="0"/>
        <w:iCs/>
      </w:rPr>
    </w:lvl>
    <w:lvl w:ilvl="1">
      <w:start w:val="1"/>
      <w:numFmt w:val="bullet"/>
      <w:lvlText w:val=""/>
      <w:lvlJc w:val="left"/>
      <w:pPr>
        <w:tabs>
          <w:tab w:val="num" w:pos="680"/>
        </w:tabs>
        <w:ind w:left="680" w:hanging="340"/>
      </w:pPr>
      <w:rPr>
        <w:rFonts w:ascii="Symbol" w:hAnsi="Symbol" w:hint="default"/>
        <w:sz w:val="1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1" w15:restartNumberingAfterBreak="0">
    <w:nsid w:val="500066BC"/>
    <w:multiLevelType w:val="multilevel"/>
    <w:tmpl w:val="E770410C"/>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3B1001C"/>
    <w:multiLevelType w:val="hybridMultilevel"/>
    <w:tmpl w:val="25A6A1B6"/>
    <w:lvl w:ilvl="0" w:tplc="04090017">
      <w:start w:val="1"/>
      <w:numFmt w:val="lowerLetter"/>
      <w:lvlText w:val="%1)"/>
      <w:lvlJc w:val="left"/>
      <w:pPr>
        <w:tabs>
          <w:tab w:val="num" w:pos="706"/>
        </w:tabs>
        <w:ind w:left="706" w:hanging="360"/>
      </w:pPr>
      <w:rPr>
        <w:rFonts w:hint="default"/>
        <w:sz w:val="14"/>
      </w:rPr>
    </w:lvl>
    <w:lvl w:ilvl="1" w:tplc="FFFFFFFF">
      <w:start w:val="1"/>
      <w:numFmt w:val="bullet"/>
      <w:lvlText w:val="n"/>
      <w:lvlJc w:val="left"/>
      <w:pPr>
        <w:tabs>
          <w:tab w:val="num" w:pos="686"/>
        </w:tabs>
        <w:ind w:left="686" w:hanging="340"/>
      </w:pPr>
      <w:rPr>
        <w:rFonts w:ascii="Wingdings" w:hAnsi="Wingdings" w:hint="default"/>
        <w:sz w:val="18"/>
      </w:rPr>
    </w:lvl>
    <w:lvl w:ilvl="2" w:tplc="FFFFFFFF" w:tentative="1">
      <w:start w:val="1"/>
      <w:numFmt w:val="bullet"/>
      <w:lvlText w:val=""/>
      <w:lvlJc w:val="left"/>
      <w:pPr>
        <w:tabs>
          <w:tab w:val="num" w:pos="2146"/>
        </w:tabs>
        <w:ind w:left="2146" w:hanging="360"/>
      </w:pPr>
      <w:rPr>
        <w:rFonts w:ascii="Wingdings" w:hAnsi="Wingdings" w:hint="default"/>
      </w:rPr>
    </w:lvl>
    <w:lvl w:ilvl="3" w:tplc="FFFFFFFF" w:tentative="1">
      <w:start w:val="1"/>
      <w:numFmt w:val="bullet"/>
      <w:lvlText w:val=""/>
      <w:lvlJc w:val="left"/>
      <w:pPr>
        <w:tabs>
          <w:tab w:val="num" w:pos="2866"/>
        </w:tabs>
        <w:ind w:left="2866" w:hanging="360"/>
      </w:pPr>
      <w:rPr>
        <w:rFonts w:ascii="Symbol" w:hAnsi="Symbol" w:hint="default"/>
      </w:rPr>
    </w:lvl>
    <w:lvl w:ilvl="4" w:tplc="FFFFFFFF" w:tentative="1">
      <w:start w:val="1"/>
      <w:numFmt w:val="bullet"/>
      <w:lvlText w:val="o"/>
      <w:lvlJc w:val="left"/>
      <w:pPr>
        <w:tabs>
          <w:tab w:val="num" w:pos="3586"/>
        </w:tabs>
        <w:ind w:left="3586" w:hanging="360"/>
      </w:pPr>
      <w:rPr>
        <w:rFonts w:ascii="Courier New" w:hAnsi="Courier New" w:hint="default"/>
      </w:rPr>
    </w:lvl>
    <w:lvl w:ilvl="5" w:tplc="FFFFFFFF" w:tentative="1">
      <w:start w:val="1"/>
      <w:numFmt w:val="bullet"/>
      <w:lvlText w:val=""/>
      <w:lvlJc w:val="left"/>
      <w:pPr>
        <w:tabs>
          <w:tab w:val="num" w:pos="4306"/>
        </w:tabs>
        <w:ind w:left="4306" w:hanging="360"/>
      </w:pPr>
      <w:rPr>
        <w:rFonts w:ascii="Wingdings" w:hAnsi="Wingdings" w:hint="default"/>
      </w:rPr>
    </w:lvl>
    <w:lvl w:ilvl="6" w:tplc="FFFFFFFF" w:tentative="1">
      <w:start w:val="1"/>
      <w:numFmt w:val="bullet"/>
      <w:lvlText w:val=""/>
      <w:lvlJc w:val="left"/>
      <w:pPr>
        <w:tabs>
          <w:tab w:val="num" w:pos="5026"/>
        </w:tabs>
        <w:ind w:left="5026" w:hanging="360"/>
      </w:pPr>
      <w:rPr>
        <w:rFonts w:ascii="Symbol" w:hAnsi="Symbol" w:hint="default"/>
      </w:rPr>
    </w:lvl>
    <w:lvl w:ilvl="7" w:tplc="FFFFFFFF" w:tentative="1">
      <w:start w:val="1"/>
      <w:numFmt w:val="bullet"/>
      <w:lvlText w:val="o"/>
      <w:lvlJc w:val="left"/>
      <w:pPr>
        <w:tabs>
          <w:tab w:val="num" w:pos="5746"/>
        </w:tabs>
        <w:ind w:left="5746" w:hanging="360"/>
      </w:pPr>
      <w:rPr>
        <w:rFonts w:ascii="Courier New" w:hAnsi="Courier New" w:hint="default"/>
      </w:rPr>
    </w:lvl>
    <w:lvl w:ilvl="8" w:tplc="FFFFFFFF" w:tentative="1">
      <w:start w:val="1"/>
      <w:numFmt w:val="bullet"/>
      <w:lvlText w:val=""/>
      <w:lvlJc w:val="left"/>
      <w:pPr>
        <w:tabs>
          <w:tab w:val="num" w:pos="6466"/>
        </w:tabs>
        <w:ind w:left="6466" w:hanging="360"/>
      </w:pPr>
      <w:rPr>
        <w:rFonts w:ascii="Wingdings" w:hAnsi="Wingdings" w:hint="default"/>
      </w:rPr>
    </w:lvl>
  </w:abstractNum>
  <w:abstractNum w:abstractNumId="13" w15:restartNumberingAfterBreak="0">
    <w:nsid w:val="53C314B4"/>
    <w:multiLevelType w:val="hybridMultilevel"/>
    <w:tmpl w:val="442CC4A4"/>
    <w:lvl w:ilvl="0" w:tplc="FFFFFFFF">
      <w:numFmt w:val="bullet"/>
      <w:lvlText w:val="•"/>
      <w:lvlJc w:val="left"/>
      <w:pPr>
        <w:ind w:left="790" w:hanging="360"/>
      </w:pPr>
      <w:rPr>
        <w:rFonts w:hint="default"/>
      </w:rPr>
    </w:lvl>
    <w:lvl w:ilvl="1" w:tplc="EA26479C">
      <w:numFmt w:val="bullet"/>
      <w:lvlText w:val="•"/>
      <w:lvlJc w:val="left"/>
      <w:pPr>
        <w:ind w:left="1510" w:hanging="360"/>
      </w:pPr>
    </w:lvl>
    <w:lvl w:ilvl="2" w:tplc="FFFFFFFF" w:tentative="1">
      <w:start w:val="1"/>
      <w:numFmt w:val="lowerRoman"/>
      <w:lvlText w:val="%3."/>
      <w:lvlJc w:val="right"/>
      <w:pPr>
        <w:ind w:left="2230" w:hanging="180"/>
      </w:pPr>
    </w:lvl>
    <w:lvl w:ilvl="3" w:tplc="FFFFFFFF" w:tentative="1">
      <w:start w:val="1"/>
      <w:numFmt w:val="decimal"/>
      <w:lvlText w:val="%4."/>
      <w:lvlJc w:val="left"/>
      <w:pPr>
        <w:ind w:left="2950" w:hanging="360"/>
      </w:pPr>
    </w:lvl>
    <w:lvl w:ilvl="4" w:tplc="FFFFFFFF" w:tentative="1">
      <w:start w:val="1"/>
      <w:numFmt w:val="lowerLetter"/>
      <w:lvlText w:val="%5."/>
      <w:lvlJc w:val="left"/>
      <w:pPr>
        <w:ind w:left="3670" w:hanging="360"/>
      </w:pPr>
    </w:lvl>
    <w:lvl w:ilvl="5" w:tplc="FFFFFFFF" w:tentative="1">
      <w:start w:val="1"/>
      <w:numFmt w:val="lowerRoman"/>
      <w:lvlText w:val="%6."/>
      <w:lvlJc w:val="right"/>
      <w:pPr>
        <w:ind w:left="4390" w:hanging="180"/>
      </w:pPr>
    </w:lvl>
    <w:lvl w:ilvl="6" w:tplc="FFFFFFFF" w:tentative="1">
      <w:start w:val="1"/>
      <w:numFmt w:val="decimal"/>
      <w:lvlText w:val="%7."/>
      <w:lvlJc w:val="left"/>
      <w:pPr>
        <w:ind w:left="5110" w:hanging="360"/>
      </w:pPr>
    </w:lvl>
    <w:lvl w:ilvl="7" w:tplc="FFFFFFFF" w:tentative="1">
      <w:start w:val="1"/>
      <w:numFmt w:val="lowerLetter"/>
      <w:lvlText w:val="%8."/>
      <w:lvlJc w:val="left"/>
      <w:pPr>
        <w:ind w:left="5830" w:hanging="360"/>
      </w:pPr>
    </w:lvl>
    <w:lvl w:ilvl="8" w:tplc="FFFFFFFF" w:tentative="1">
      <w:start w:val="1"/>
      <w:numFmt w:val="lowerRoman"/>
      <w:lvlText w:val="%9."/>
      <w:lvlJc w:val="right"/>
      <w:pPr>
        <w:ind w:left="6550" w:hanging="180"/>
      </w:pPr>
    </w:lvl>
  </w:abstractNum>
  <w:abstractNum w:abstractNumId="14" w15:restartNumberingAfterBreak="0">
    <w:nsid w:val="63C11EA0"/>
    <w:multiLevelType w:val="multilevel"/>
    <w:tmpl w:val="E770410C"/>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886278B"/>
    <w:multiLevelType w:val="hybridMultilevel"/>
    <w:tmpl w:val="8EE6A63A"/>
    <w:lvl w:ilvl="0" w:tplc="04090017">
      <w:start w:val="1"/>
      <w:numFmt w:val="lowerLetter"/>
      <w:lvlText w:val="%1)"/>
      <w:lvlJc w:val="left"/>
      <w:pPr>
        <w:ind w:left="1060" w:hanging="360"/>
      </w:pPr>
    </w:lvl>
    <w:lvl w:ilvl="1" w:tplc="04090019">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6" w15:restartNumberingAfterBreak="0">
    <w:nsid w:val="6AF17469"/>
    <w:multiLevelType w:val="multilevel"/>
    <w:tmpl w:val="E770410C"/>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CC871D4"/>
    <w:multiLevelType w:val="multilevel"/>
    <w:tmpl w:val="51906DC2"/>
    <w:lvl w:ilvl="0">
      <w:start w:val="1"/>
      <w:numFmt w:val="decimal"/>
      <w:lvlText w:val="%1."/>
      <w:lvlJc w:val="left"/>
      <w:pPr>
        <w:tabs>
          <w:tab w:val="num" w:pos="340"/>
        </w:tabs>
        <w:ind w:left="340" w:hanging="340"/>
      </w:pPr>
    </w:lvl>
    <w:lvl w:ilvl="1">
      <w:start w:val="1"/>
      <w:numFmt w:val="lowerLetter"/>
      <w:lvlText w:val="%2."/>
      <w:lvlJc w:val="left"/>
      <w:pPr>
        <w:tabs>
          <w:tab w:val="num" w:pos="680"/>
        </w:tabs>
        <w:ind w:left="680" w:hanging="340"/>
      </w:pPr>
      <w:rPr>
        <w:sz w:val="20"/>
        <w:szCs w:val="20"/>
      </w:rPr>
    </w:lvl>
    <w:lvl w:ilvl="2">
      <w:start w:val="1"/>
      <w:numFmt w:val="lowerRoman"/>
      <w:lvlText w:val="-"/>
      <w:lvlJc w:val="left"/>
      <w:pPr>
        <w:tabs>
          <w:tab w:val="num" w:pos="1020"/>
        </w:tabs>
        <w:ind w:left="1020" w:hanging="340"/>
      </w:pPr>
      <w:rPr>
        <w:rFonts w:ascii="9999999" w:hAnsi="9999999"/>
      </w:rPr>
    </w:lvl>
    <w:lvl w:ilvl="3">
      <w:start w:val="1"/>
      <w:numFmt w:val="bullet"/>
      <w:lvlText w:val=""/>
      <w:lvlJc w:val="left"/>
      <w:pPr>
        <w:ind w:left="1380" w:hanging="360"/>
      </w:pPr>
      <w:rPr>
        <w:rFonts w:ascii="Wingdings 2" w:hAnsi="Wingdings 2" w:hint="default"/>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73FC6DB3"/>
    <w:multiLevelType w:val="multilevel"/>
    <w:tmpl w:val="7464AEB8"/>
    <w:lvl w:ilvl="0">
      <w:start w:val="1"/>
      <w:numFmt w:val="decimal"/>
      <w:lvlText w:val="%1."/>
      <w:lvlJc w:val="left"/>
      <w:pPr>
        <w:tabs>
          <w:tab w:val="num" w:pos="340"/>
        </w:tabs>
        <w:ind w:left="340" w:hanging="340"/>
      </w:pPr>
    </w:lvl>
    <w:lvl w:ilvl="1">
      <w:start w:val="1"/>
      <w:numFmt w:val="lowerLetter"/>
      <w:lvlText w:val="%2)"/>
      <w:lvlJc w:val="left"/>
      <w:pPr>
        <w:ind w:left="700" w:hanging="360"/>
      </w:p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9" w15:restartNumberingAfterBreak="0">
    <w:nsid w:val="7E106F38"/>
    <w:multiLevelType w:val="hybridMultilevel"/>
    <w:tmpl w:val="1E2247B8"/>
    <w:lvl w:ilvl="0" w:tplc="023611B4">
      <w:start w:val="1"/>
      <w:numFmt w:val="bullet"/>
      <w:lvlText w:val=""/>
      <w:lvlJc w:val="left"/>
      <w:pPr>
        <w:tabs>
          <w:tab w:val="num" w:pos="706"/>
        </w:tabs>
        <w:ind w:left="706" w:hanging="360"/>
      </w:pPr>
      <w:rPr>
        <w:rFonts w:ascii="Symbol" w:hAnsi="Symbol" w:hint="default"/>
        <w:sz w:val="14"/>
      </w:rPr>
    </w:lvl>
    <w:lvl w:ilvl="1" w:tplc="975894A2">
      <w:start w:val="1"/>
      <w:numFmt w:val="bullet"/>
      <w:lvlText w:val="n"/>
      <w:lvlJc w:val="left"/>
      <w:pPr>
        <w:tabs>
          <w:tab w:val="num" w:pos="686"/>
        </w:tabs>
        <w:ind w:left="686" w:hanging="340"/>
      </w:pPr>
      <w:rPr>
        <w:rFonts w:ascii="Wingdings" w:hAnsi="Wingdings" w:hint="default"/>
        <w:sz w:val="18"/>
      </w:rPr>
    </w:lvl>
    <w:lvl w:ilvl="2" w:tplc="04090005" w:tentative="1">
      <w:start w:val="1"/>
      <w:numFmt w:val="bullet"/>
      <w:lvlText w:val=""/>
      <w:lvlJc w:val="left"/>
      <w:pPr>
        <w:tabs>
          <w:tab w:val="num" w:pos="2146"/>
        </w:tabs>
        <w:ind w:left="2146" w:hanging="360"/>
      </w:pPr>
      <w:rPr>
        <w:rFonts w:ascii="Wingdings" w:hAnsi="Wingdings" w:hint="default"/>
      </w:rPr>
    </w:lvl>
    <w:lvl w:ilvl="3" w:tplc="04090001" w:tentative="1">
      <w:start w:val="1"/>
      <w:numFmt w:val="bullet"/>
      <w:lvlText w:val=""/>
      <w:lvlJc w:val="left"/>
      <w:pPr>
        <w:tabs>
          <w:tab w:val="num" w:pos="2866"/>
        </w:tabs>
        <w:ind w:left="2866" w:hanging="360"/>
      </w:pPr>
      <w:rPr>
        <w:rFonts w:ascii="Symbol" w:hAnsi="Symbol" w:hint="default"/>
      </w:rPr>
    </w:lvl>
    <w:lvl w:ilvl="4" w:tplc="04090003" w:tentative="1">
      <w:start w:val="1"/>
      <w:numFmt w:val="bullet"/>
      <w:lvlText w:val="o"/>
      <w:lvlJc w:val="left"/>
      <w:pPr>
        <w:tabs>
          <w:tab w:val="num" w:pos="3586"/>
        </w:tabs>
        <w:ind w:left="3586" w:hanging="360"/>
      </w:pPr>
      <w:rPr>
        <w:rFonts w:ascii="Courier New" w:hAnsi="Courier New" w:hint="default"/>
      </w:rPr>
    </w:lvl>
    <w:lvl w:ilvl="5" w:tplc="04090005" w:tentative="1">
      <w:start w:val="1"/>
      <w:numFmt w:val="bullet"/>
      <w:lvlText w:val=""/>
      <w:lvlJc w:val="left"/>
      <w:pPr>
        <w:tabs>
          <w:tab w:val="num" w:pos="4306"/>
        </w:tabs>
        <w:ind w:left="4306" w:hanging="360"/>
      </w:pPr>
      <w:rPr>
        <w:rFonts w:ascii="Wingdings" w:hAnsi="Wingdings" w:hint="default"/>
      </w:rPr>
    </w:lvl>
    <w:lvl w:ilvl="6" w:tplc="04090001" w:tentative="1">
      <w:start w:val="1"/>
      <w:numFmt w:val="bullet"/>
      <w:lvlText w:val=""/>
      <w:lvlJc w:val="left"/>
      <w:pPr>
        <w:tabs>
          <w:tab w:val="num" w:pos="5026"/>
        </w:tabs>
        <w:ind w:left="5026" w:hanging="360"/>
      </w:pPr>
      <w:rPr>
        <w:rFonts w:ascii="Symbol" w:hAnsi="Symbol" w:hint="default"/>
      </w:rPr>
    </w:lvl>
    <w:lvl w:ilvl="7" w:tplc="04090003" w:tentative="1">
      <w:start w:val="1"/>
      <w:numFmt w:val="bullet"/>
      <w:lvlText w:val="o"/>
      <w:lvlJc w:val="left"/>
      <w:pPr>
        <w:tabs>
          <w:tab w:val="num" w:pos="5746"/>
        </w:tabs>
        <w:ind w:left="5746" w:hanging="360"/>
      </w:pPr>
      <w:rPr>
        <w:rFonts w:ascii="Courier New" w:hAnsi="Courier New" w:hint="default"/>
      </w:rPr>
    </w:lvl>
    <w:lvl w:ilvl="8" w:tplc="04090005" w:tentative="1">
      <w:start w:val="1"/>
      <w:numFmt w:val="bullet"/>
      <w:lvlText w:val=""/>
      <w:lvlJc w:val="left"/>
      <w:pPr>
        <w:tabs>
          <w:tab w:val="num" w:pos="6466"/>
        </w:tabs>
        <w:ind w:left="6466" w:hanging="360"/>
      </w:pPr>
      <w:rPr>
        <w:rFonts w:ascii="Wingdings" w:hAnsi="Wingdings" w:hint="default"/>
      </w:rPr>
    </w:lvl>
  </w:abstractNum>
  <w:num w:numId="1" w16cid:durableId="125467677">
    <w:abstractNumId w:val="19"/>
  </w:num>
  <w:num w:numId="2" w16cid:durableId="1182009313">
    <w:abstractNumId w:val="10"/>
  </w:num>
  <w:num w:numId="3" w16cid:durableId="479882382">
    <w:abstractNumId w:val="6"/>
  </w:num>
  <w:num w:numId="4" w16cid:durableId="1915818748">
    <w:abstractNumId w:val="0"/>
  </w:num>
  <w:num w:numId="5" w16cid:durableId="2128306903">
    <w:abstractNumId w:val="13"/>
  </w:num>
  <w:num w:numId="6" w16cid:durableId="308285800">
    <w:abstractNumId w:val="9"/>
  </w:num>
  <w:num w:numId="7" w16cid:durableId="1485469130">
    <w:abstractNumId w:val="12"/>
  </w:num>
  <w:num w:numId="8" w16cid:durableId="1028339115">
    <w:abstractNumId w:val="4"/>
  </w:num>
  <w:num w:numId="9" w16cid:durableId="345180227">
    <w:abstractNumId w:val="7"/>
  </w:num>
  <w:num w:numId="10" w16cid:durableId="1375497076">
    <w:abstractNumId w:val="3"/>
  </w:num>
  <w:num w:numId="11" w16cid:durableId="1685203121">
    <w:abstractNumId w:val="11"/>
  </w:num>
  <w:num w:numId="12" w16cid:durableId="1290863805">
    <w:abstractNumId w:val="16"/>
  </w:num>
  <w:num w:numId="13" w16cid:durableId="801070243">
    <w:abstractNumId w:val="5"/>
  </w:num>
  <w:num w:numId="14" w16cid:durableId="1133864821">
    <w:abstractNumId w:val="8"/>
  </w:num>
  <w:num w:numId="15" w16cid:durableId="730077537">
    <w:abstractNumId w:val="14"/>
  </w:num>
  <w:num w:numId="16" w16cid:durableId="706564606">
    <w:abstractNumId w:val="18"/>
  </w:num>
  <w:num w:numId="17" w16cid:durableId="411200066">
    <w:abstractNumId w:val="1"/>
  </w:num>
  <w:num w:numId="18" w16cid:durableId="824781046">
    <w:abstractNumId w:val="17"/>
  </w:num>
  <w:num w:numId="19" w16cid:durableId="928387315">
    <w:abstractNumId w:val="15"/>
  </w:num>
  <w:num w:numId="20" w16cid:durableId="56444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46"/>
    <w:rsid w:val="0002093A"/>
    <w:rsid w:val="00021BA7"/>
    <w:rsid w:val="00025484"/>
    <w:rsid w:val="001131A9"/>
    <w:rsid w:val="00377CEE"/>
    <w:rsid w:val="003C0493"/>
    <w:rsid w:val="003F75B6"/>
    <w:rsid w:val="00436046"/>
    <w:rsid w:val="004B3DA1"/>
    <w:rsid w:val="00502E00"/>
    <w:rsid w:val="00516AF8"/>
    <w:rsid w:val="00540773"/>
    <w:rsid w:val="0054309C"/>
    <w:rsid w:val="005E686C"/>
    <w:rsid w:val="00607EA3"/>
    <w:rsid w:val="00657650"/>
    <w:rsid w:val="006A459E"/>
    <w:rsid w:val="006B5AB9"/>
    <w:rsid w:val="006C60A1"/>
    <w:rsid w:val="00727D2F"/>
    <w:rsid w:val="007A4B0A"/>
    <w:rsid w:val="00812A5C"/>
    <w:rsid w:val="008B307E"/>
    <w:rsid w:val="008E227E"/>
    <w:rsid w:val="0092322B"/>
    <w:rsid w:val="00953682"/>
    <w:rsid w:val="009A1744"/>
    <w:rsid w:val="00AA76A4"/>
    <w:rsid w:val="00AE55A2"/>
    <w:rsid w:val="00B13B2C"/>
    <w:rsid w:val="00B46A72"/>
    <w:rsid w:val="00BB548F"/>
    <w:rsid w:val="00BB675C"/>
    <w:rsid w:val="00BF73D4"/>
    <w:rsid w:val="00D12560"/>
    <w:rsid w:val="00D70CC8"/>
    <w:rsid w:val="00D85074"/>
    <w:rsid w:val="00DD3EB1"/>
    <w:rsid w:val="00E407C7"/>
    <w:rsid w:val="00E775C2"/>
    <w:rsid w:val="00ED110B"/>
    <w:rsid w:val="00ED3BB6"/>
    <w:rsid w:val="00F01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C0D5"/>
  <w15:chartTrackingRefBased/>
  <w15:docId w15:val="{753CE24A-69A3-42D4-A7CD-A596D53A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36046"/>
    <w:pPr>
      <w:widowControl w:val="0"/>
      <w:autoSpaceDE w:val="0"/>
      <w:autoSpaceDN w:val="0"/>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436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0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0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0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0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046"/>
    <w:rPr>
      <w:rFonts w:eastAsiaTheme="majorEastAsia" w:cstheme="majorBidi"/>
      <w:color w:val="272727" w:themeColor="text1" w:themeTint="D8"/>
    </w:rPr>
  </w:style>
  <w:style w:type="paragraph" w:styleId="Title">
    <w:name w:val="Title"/>
    <w:basedOn w:val="Normal"/>
    <w:next w:val="Normal"/>
    <w:link w:val="TitleChar"/>
    <w:uiPriority w:val="10"/>
    <w:qFormat/>
    <w:rsid w:val="004360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046"/>
    <w:pPr>
      <w:spacing w:before="160"/>
      <w:jc w:val="center"/>
    </w:pPr>
    <w:rPr>
      <w:i/>
      <w:iCs/>
      <w:color w:val="404040" w:themeColor="text1" w:themeTint="BF"/>
    </w:rPr>
  </w:style>
  <w:style w:type="character" w:customStyle="1" w:styleId="QuoteChar">
    <w:name w:val="Quote Char"/>
    <w:basedOn w:val="DefaultParagraphFont"/>
    <w:link w:val="Quote"/>
    <w:uiPriority w:val="29"/>
    <w:rsid w:val="00436046"/>
    <w:rPr>
      <w:i/>
      <w:iCs/>
      <w:color w:val="404040" w:themeColor="text1" w:themeTint="BF"/>
    </w:rPr>
  </w:style>
  <w:style w:type="paragraph" w:styleId="ListParagraph">
    <w:name w:val="List Paragraph"/>
    <w:basedOn w:val="Normal"/>
    <w:uiPriority w:val="34"/>
    <w:qFormat/>
    <w:rsid w:val="00436046"/>
    <w:pPr>
      <w:ind w:left="720"/>
      <w:contextualSpacing/>
    </w:pPr>
  </w:style>
  <w:style w:type="character" w:styleId="IntenseEmphasis">
    <w:name w:val="Intense Emphasis"/>
    <w:basedOn w:val="DefaultParagraphFont"/>
    <w:uiPriority w:val="21"/>
    <w:qFormat/>
    <w:rsid w:val="00436046"/>
    <w:rPr>
      <w:i/>
      <w:iCs/>
      <w:color w:val="0F4761" w:themeColor="accent1" w:themeShade="BF"/>
    </w:rPr>
  </w:style>
  <w:style w:type="paragraph" w:styleId="IntenseQuote">
    <w:name w:val="Intense Quote"/>
    <w:basedOn w:val="Normal"/>
    <w:next w:val="Normal"/>
    <w:link w:val="IntenseQuoteChar"/>
    <w:uiPriority w:val="30"/>
    <w:qFormat/>
    <w:rsid w:val="00436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046"/>
    <w:rPr>
      <w:i/>
      <w:iCs/>
      <w:color w:val="0F4761" w:themeColor="accent1" w:themeShade="BF"/>
    </w:rPr>
  </w:style>
  <w:style w:type="character" w:styleId="IntenseReference">
    <w:name w:val="Intense Reference"/>
    <w:basedOn w:val="DefaultParagraphFont"/>
    <w:uiPriority w:val="32"/>
    <w:qFormat/>
    <w:rsid w:val="00436046"/>
    <w:rPr>
      <w:b/>
      <w:bCs/>
      <w:smallCaps/>
      <w:color w:val="0F4761" w:themeColor="accent1" w:themeShade="BF"/>
      <w:spacing w:val="5"/>
    </w:rPr>
  </w:style>
  <w:style w:type="paragraph" w:customStyle="1" w:styleId="Bulletfornos">
    <w:name w:val="Bullet for no #'s"/>
    <w:aliases w:val="b1,Bullet 1"/>
    <w:basedOn w:val="Normal"/>
    <w:rsid w:val="00436046"/>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rPr>
  </w:style>
  <w:style w:type="character" w:styleId="CommentReference">
    <w:name w:val="annotation reference"/>
    <w:basedOn w:val="DefaultParagraphFont"/>
    <w:uiPriority w:val="99"/>
    <w:semiHidden/>
    <w:unhideWhenUsed/>
    <w:rsid w:val="00436046"/>
    <w:rPr>
      <w:sz w:val="16"/>
      <w:szCs w:val="16"/>
    </w:rPr>
  </w:style>
  <w:style w:type="paragraph" w:styleId="CommentText">
    <w:name w:val="annotation text"/>
    <w:basedOn w:val="Normal"/>
    <w:link w:val="CommentTextChar"/>
    <w:uiPriority w:val="99"/>
    <w:unhideWhenUsed/>
    <w:rsid w:val="00436046"/>
    <w:rPr>
      <w:sz w:val="20"/>
      <w:szCs w:val="20"/>
    </w:rPr>
  </w:style>
  <w:style w:type="character" w:customStyle="1" w:styleId="CommentTextChar">
    <w:name w:val="Comment Text Char"/>
    <w:basedOn w:val="DefaultParagraphFont"/>
    <w:link w:val="CommentText"/>
    <w:uiPriority w:val="99"/>
    <w:rsid w:val="00436046"/>
    <w:rPr>
      <w:rFonts w:ascii="Arial" w:eastAsia="Arial" w:hAnsi="Arial" w:cs="Arial"/>
      <w:kern w:val="0"/>
      <w:sz w:val="20"/>
      <w:szCs w:val="20"/>
      <w14:ligatures w14:val="none"/>
    </w:rPr>
  </w:style>
  <w:style w:type="paragraph" w:styleId="Revision">
    <w:name w:val="Revision"/>
    <w:hidden/>
    <w:uiPriority w:val="99"/>
    <w:semiHidden/>
    <w:rsid w:val="001131A9"/>
    <w:pPr>
      <w:spacing w:after="0" w:line="240" w:lineRule="auto"/>
    </w:pPr>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831F1F94-6CF4-494D-8B53-4552A2E553E5}"/>
</file>

<file path=customXml/itemProps2.xml><?xml version="1.0" encoding="utf-8"?>
<ds:datastoreItem xmlns:ds="http://schemas.openxmlformats.org/officeDocument/2006/customXml" ds:itemID="{ACC3F2D2-EE39-4ACC-A8C5-17EDEF82D556}"/>
</file>

<file path=customXml/itemProps3.xml><?xml version="1.0" encoding="utf-8"?>
<ds:datastoreItem xmlns:ds="http://schemas.openxmlformats.org/officeDocument/2006/customXml" ds:itemID="{F7EA1931-29DD-4205-B901-20CBC151B5B6}"/>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967</Words>
  <Characters>5512</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dc:creator>
  <cp:keywords/>
  <dc:description/>
  <cp:lastModifiedBy>Sharma, Rishi</cp:lastModifiedBy>
  <cp:revision>2</cp:revision>
  <dcterms:created xsi:type="dcterms:W3CDTF">2025-04-23T13:12:00Z</dcterms:created>
  <dcterms:modified xsi:type="dcterms:W3CDTF">2025-04-23T13:12:00Z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0x010100B50ACECE49572E49B9E2B6EEF15646F3</vt:lpwstr>
  </property>
</Properties>
</file>