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07B7F" w14:textId="45514565" w:rsidR="00100A39" w:rsidRDefault="005A45DB" w:rsidP="00201890">
      <w:pPr>
        <w:jc w:val="center"/>
        <w:rPr>
          <w:rFonts w:ascii="Times New Roman" w:hAnsi="Times New Roman" w:cs="Times New Roman"/>
          <w:b/>
          <w:bCs/>
          <w:i/>
          <w:iCs/>
          <w:sz w:val="20"/>
          <w:szCs w:val="20"/>
          <w:u w:val="single"/>
        </w:rPr>
      </w:pPr>
      <w:r w:rsidRPr="007D58B0">
        <w:rPr>
          <w:rFonts w:ascii="Times New Roman" w:hAnsi="Times New Roman" w:cs="Times New Roman"/>
          <w:b/>
          <w:bCs/>
          <w:i/>
          <w:iCs/>
          <w:sz w:val="20"/>
          <w:szCs w:val="20"/>
          <w:u w:val="single"/>
        </w:rPr>
        <w:t>PROJECT</w:t>
      </w:r>
      <w:r w:rsidR="007D58B0">
        <w:rPr>
          <w:rFonts w:ascii="Times New Roman" w:hAnsi="Times New Roman" w:cs="Times New Roman"/>
          <w:b/>
          <w:bCs/>
          <w:i/>
          <w:iCs/>
          <w:sz w:val="20"/>
          <w:szCs w:val="20"/>
          <w:u w:val="single"/>
        </w:rPr>
        <w:t xml:space="preserve"> SENATOR</w:t>
      </w:r>
    </w:p>
    <w:p w14:paraId="33037660" w14:textId="7B5D831C" w:rsidR="00100A39" w:rsidRDefault="00100A39" w:rsidP="00100A39">
      <w:pPr>
        <w:jc w:val="center"/>
        <w:rPr>
          <w:rFonts w:ascii="Times New Roman" w:hAnsi="Times New Roman" w:cs="Times New Roman"/>
          <w:b/>
          <w:bCs/>
          <w:i/>
          <w:iCs/>
          <w:sz w:val="20"/>
          <w:szCs w:val="20"/>
          <w:u w:val="single"/>
        </w:rPr>
      </w:pPr>
      <w:r>
        <w:rPr>
          <w:rFonts w:ascii="Times New Roman" w:hAnsi="Times New Roman" w:cs="Times New Roman"/>
          <w:b/>
          <w:bCs/>
          <w:i/>
          <w:iCs/>
          <w:sz w:val="20"/>
          <w:szCs w:val="20"/>
          <w:u w:val="single"/>
        </w:rPr>
        <w:t>SCOPE OF WORK</w:t>
      </w:r>
    </w:p>
    <w:p w14:paraId="13DAC3F0" w14:textId="77777777" w:rsidR="00201890" w:rsidRDefault="00201890" w:rsidP="00201890">
      <w:pPr>
        <w:jc w:val="center"/>
        <w:rPr>
          <w:rFonts w:ascii="Times New Roman" w:hAnsi="Times New Roman" w:cs="Times New Roman"/>
          <w:b/>
          <w:bCs/>
          <w:i/>
          <w:iCs/>
          <w:sz w:val="20"/>
          <w:szCs w:val="20"/>
          <w:u w:val="single"/>
        </w:rPr>
      </w:pPr>
      <w:r>
        <w:rPr>
          <w:rFonts w:ascii="Times New Roman" w:hAnsi="Times New Roman" w:cs="Times New Roman"/>
          <w:b/>
          <w:bCs/>
          <w:i/>
          <w:iCs/>
          <w:sz w:val="20"/>
          <w:szCs w:val="20"/>
          <w:u w:val="single"/>
        </w:rPr>
        <w:t>April 11, 2025</w:t>
      </w:r>
    </w:p>
    <w:p w14:paraId="08B14618" w14:textId="77777777" w:rsidR="00201890" w:rsidRDefault="00201890" w:rsidP="00100A39">
      <w:pPr>
        <w:jc w:val="center"/>
        <w:rPr>
          <w:rFonts w:ascii="Times New Roman" w:hAnsi="Times New Roman" w:cs="Times New Roman"/>
          <w:b/>
          <w:bCs/>
          <w:i/>
          <w:iCs/>
          <w:sz w:val="20"/>
          <w:szCs w:val="20"/>
          <w:u w:val="single"/>
        </w:rPr>
      </w:pPr>
    </w:p>
    <w:p w14:paraId="4D11B9A3" w14:textId="0248E4F1" w:rsidR="00100A39" w:rsidRPr="007D58B0" w:rsidRDefault="00100A39" w:rsidP="00100A39">
      <w:pPr>
        <w:spacing w:before="100" w:beforeAutospacing="1" w:after="100" w:afterAutospacing="1"/>
        <w:jc w:val="both"/>
        <w:rPr>
          <w:rFonts w:ascii="Times New Roman" w:hAnsi="Times New Roman" w:cs="Times New Roman"/>
          <w:b/>
          <w:bCs/>
          <w:i/>
          <w:iCs/>
          <w:sz w:val="20"/>
          <w:szCs w:val="20"/>
          <w:u w:val="single"/>
        </w:rPr>
      </w:pPr>
      <w:r>
        <w:rPr>
          <w:rFonts w:ascii="Times New Roman" w:hAnsi="Times New Roman" w:cs="Times New Roman"/>
          <w:b/>
          <w:bCs/>
          <w:i/>
          <w:iCs/>
          <w:sz w:val="20"/>
          <w:szCs w:val="20"/>
          <w:u w:val="single"/>
        </w:rPr>
        <w:t xml:space="preserve">TAX </w:t>
      </w:r>
      <w:r w:rsidRPr="007D58B0">
        <w:rPr>
          <w:rFonts w:ascii="Times New Roman" w:hAnsi="Times New Roman" w:cs="Times New Roman"/>
          <w:b/>
          <w:bCs/>
          <w:i/>
          <w:iCs/>
          <w:sz w:val="20"/>
          <w:szCs w:val="20"/>
          <w:u w:val="single"/>
        </w:rPr>
        <w:t>DUE DILIGENCE SCOPE OF WORK</w:t>
      </w:r>
    </w:p>
    <w:p w14:paraId="2A6E4FEF" w14:textId="77777777" w:rsidR="00100A39" w:rsidRPr="00100A39" w:rsidRDefault="00100A39" w:rsidP="00100A39">
      <w:pPr>
        <w:spacing w:before="120" w:after="120"/>
        <w:jc w:val="both"/>
        <w:rPr>
          <w:rStyle w:val="ClearFont"/>
          <w:rFonts w:ascii="Times New Roman" w:hAnsi="Times New Roman" w:cs="Times New Roman"/>
          <w:sz w:val="20"/>
          <w:szCs w:val="20"/>
        </w:rPr>
      </w:pPr>
      <w:r w:rsidRPr="00100A39">
        <w:rPr>
          <w:rStyle w:val="ClearFont"/>
          <w:rFonts w:ascii="Times New Roman" w:hAnsi="Times New Roman" w:cs="Times New Roman"/>
          <w:sz w:val="20"/>
          <w:szCs w:val="20"/>
        </w:rPr>
        <w:t>Our Canadian tax due diligence procedures will be performed with respect to Canadian entities in the Target structure (collectively “</w:t>
      </w:r>
      <w:r w:rsidRPr="00100A39">
        <w:rPr>
          <w:rStyle w:val="ClearFont"/>
          <w:rFonts w:ascii="Times New Roman" w:hAnsi="Times New Roman" w:cs="Times New Roman"/>
          <w:b/>
          <w:bCs/>
          <w:sz w:val="20"/>
          <w:szCs w:val="20"/>
        </w:rPr>
        <w:t>Canadian Target</w:t>
      </w:r>
      <w:r w:rsidRPr="00100A39">
        <w:rPr>
          <w:rStyle w:val="ClearFont"/>
          <w:rFonts w:ascii="Times New Roman" w:hAnsi="Times New Roman" w:cs="Times New Roman"/>
          <w:sz w:val="20"/>
          <w:szCs w:val="20"/>
        </w:rPr>
        <w:t xml:space="preserve">”) as listed and as described below. </w:t>
      </w:r>
    </w:p>
    <w:p w14:paraId="14D9B46C"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Real Estate Investment Trust</w:t>
      </w:r>
    </w:p>
    <w:p w14:paraId="7EEB4548"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Trust</w:t>
      </w:r>
    </w:p>
    <w:p w14:paraId="22CDE840"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Holdings Limited Partnership</w:t>
      </w:r>
    </w:p>
    <w:p w14:paraId="505393ED"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1 Limited Partnership </w:t>
      </w:r>
    </w:p>
    <w:p w14:paraId="315EB92D"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2 Limited Partnership</w:t>
      </w:r>
    </w:p>
    <w:p w14:paraId="19F2B12B"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3 Limited Partnership</w:t>
      </w:r>
    </w:p>
    <w:p w14:paraId="0E836C7B"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4 Limited Partnership</w:t>
      </w:r>
    </w:p>
    <w:p w14:paraId="62E56474"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5 Limited Partnership</w:t>
      </w:r>
    </w:p>
    <w:p w14:paraId="154B91B5"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6 Limited Partnership</w:t>
      </w:r>
    </w:p>
    <w:p w14:paraId="0F217EE2"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7 Limited Partnership</w:t>
      </w:r>
    </w:p>
    <w:p w14:paraId="130D6B70"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7A Limited Partnership</w:t>
      </w:r>
    </w:p>
    <w:p w14:paraId="04DF582C"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8 Limited Partnership</w:t>
      </w:r>
    </w:p>
    <w:p w14:paraId="0746311B"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9 Limited Partnership</w:t>
      </w:r>
    </w:p>
    <w:p w14:paraId="2AD6973A"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10 Limited Partnership</w:t>
      </w:r>
    </w:p>
    <w:p w14:paraId="05744B50"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11 Limited Partnership</w:t>
      </w:r>
    </w:p>
    <w:p w14:paraId="5979FB3A"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No. 12 Limited Partnership</w:t>
      </w:r>
    </w:p>
    <w:p w14:paraId="37A7BEA1"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Silvercreek</w:t>
      </w:r>
      <w:proofErr w:type="spellEnd"/>
      <w:r w:rsidRPr="00100A39">
        <w:rPr>
          <w:rStyle w:val="ClearFont"/>
          <w:rFonts w:ascii="Times New Roman" w:hAnsi="Times New Roman" w:cs="Times New Roman"/>
          <w:sz w:val="20"/>
          <w:szCs w:val="20"/>
        </w:rPr>
        <w:t xml:space="preserve"> Parkway Guelph Limited Partnership</w:t>
      </w:r>
    </w:p>
    <w:p w14:paraId="3949092B"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Silvercreek</w:t>
      </w:r>
      <w:proofErr w:type="spellEnd"/>
      <w:r w:rsidRPr="00100A39">
        <w:rPr>
          <w:rStyle w:val="ClearFont"/>
          <w:rFonts w:ascii="Times New Roman" w:hAnsi="Times New Roman" w:cs="Times New Roman"/>
          <w:sz w:val="20"/>
          <w:szCs w:val="20"/>
        </w:rPr>
        <w:t xml:space="preserve"> Parkway Guelph Limited Partnership No. 2</w:t>
      </w:r>
    </w:p>
    <w:p w14:paraId="41F198ED"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r w:rsidRPr="00100A39">
        <w:rPr>
          <w:rStyle w:val="ClearFont"/>
          <w:rFonts w:ascii="Times New Roman" w:hAnsi="Times New Roman" w:cs="Times New Roman"/>
          <w:sz w:val="20"/>
          <w:szCs w:val="20"/>
        </w:rPr>
        <w:t>Park Place Equities 2000 Limited Partnership</w:t>
      </w:r>
    </w:p>
    <w:p w14:paraId="6C84A1EC" w14:textId="77777777" w:rsidR="00100A39" w:rsidRPr="00100A39" w:rsidRDefault="00100A39" w:rsidP="00100A39">
      <w:pPr>
        <w:pStyle w:val="ListParagraph"/>
        <w:widowControl/>
        <w:numPr>
          <w:ilvl w:val="0"/>
          <w:numId w:val="24"/>
        </w:numPr>
        <w:autoSpaceDE/>
        <w:autoSpaceDN/>
        <w:spacing w:before="120" w:after="120"/>
        <w:ind w:left="360"/>
        <w:contextualSpacing w:val="0"/>
        <w:rPr>
          <w:rStyle w:val="ClearFont"/>
          <w:rFonts w:ascii="Times New Roman" w:hAnsi="Times New Roman" w:cs="Times New Roman"/>
          <w:sz w:val="20"/>
          <w:szCs w:val="20"/>
        </w:rPr>
      </w:pPr>
      <w:proofErr w:type="spellStart"/>
      <w:r w:rsidRPr="00100A39">
        <w:rPr>
          <w:rStyle w:val="ClearFont"/>
          <w:rFonts w:ascii="Times New Roman" w:hAnsi="Times New Roman" w:cs="Times New Roman"/>
          <w:sz w:val="20"/>
          <w:szCs w:val="20"/>
        </w:rPr>
        <w:t>InterRent</w:t>
      </w:r>
      <w:proofErr w:type="spellEnd"/>
      <w:r w:rsidRPr="00100A39">
        <w:rPr>
          <w:rStyle w:val="ClearFont"/>
          <w:rFonts w:ascii="Times New Roman" w:hAnsi="Times New Roman" w:cs="Times New Roman"/>
          <w:sz w:val="20"/>
          <w:szCs w:val="20"/>
        </w:rPr>
        <w:t xml:space="preserve"> Holdings Manager Limited Partnership</w:t>
      </w:r>
    </w:p>
    <w:p w14:paraId="1EBDE756" w14:textId="77777777" w:rsidR="00100A39" w:rsidRPr="00100A39" w:rsidRDefault="00100A39" w:rsidP="00100A39">
      <w:pPr>
        <w:pStyle w:val="pwnumbered-level1styles-4d920a25-9d91-c2a7-6487-8cf3fbeab2af"/>
        <w:keepLines/>
        <w:numPr>
          <w:ilvl w:val="0"/>
          <w:numId w:val="0"/>
        </w:numPr>
        <w:autoSpaceDE w:val="0"/>
        <w:autoSpaceDN w:val="0"/>
        <w:spacing w:before="120" w:after="120"/>
        <w:jc w:val="both"/>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Our scope of work will generally be to the periods FY20 to FY24 and year to date FY25 (hereinafter termed as “period under investigation"). References to accounts and associated data are for these periods.</w:t>
      </w:r>
    </w:p>
    <w:p w14:paraId="7660A142" w14:textId="77777777" w:rsidR="00100A39" w:rsidRPr="00100A39" w:rsidRDefault="00100A39" w:rsidP="00100A39">
      <w:pPr>
        <w:pStyle w:val="pwnumbered-level1styles-4d920a25-9d91-c2a7-6487-8cf3fbeab2af"/>
        <w:keepLines/>
        <w:numPr>
          <w:ilvl w:val="0"/>
          <w:numId w:val="0"/>
        </w:numPr>
        <w:autoSpaceDE w:val="0"/>
        <w:autoSpaceDN w:val="0"/>
        <w:spacing w:before="120" w:after="120"/>
        <w:jc w:val="both"/>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Our deliverable will be a full scope tax due diligence report on all identified and potential tax exposures and significant tax attributes expected to be acquired.  This Report will be sufficient for RWI purposes. </w:t>
      </w:r>
    </w:p>
    <w:p w14:paraId="74176B11" w14:textId="3A8F7D2D" w:rsidR="00100A39" w:rsidRPr="00100A39" w:rsidRDefault="00100A39" w:rsidP="00100A39">
      <w:pPr>
        <w:pStyle w:val="pwnumbered-level1styles-4d920a25-9d91-c2a7-6487-8cf3fbeab2af"/>
        <w:keepLines/>
        <w:numPr>
          <w:ilvl w:val="0"/>
          <w:numId w:val="0"/>
        </w:numPr>
        <w:autoSpaceDE w:val="0"/>
        <w:autoSpaceDN w:val="0"/>
        <w:spacing w:before="120" w:after="120"/>
        <w:jc w:val="both"/>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Due diligence procedures will be undertaken through discussions with management, and where applicable, Target’s tax advisors, and through reading limited documents as described below.</w:t>
      </w:r>
      <w:r>
        <w:rPr>
          <w:rStyle w:val="ClearFont"/>
          <w:rFonts w:ascii="Times New Roman" w:eastAsiaTheme="majorEastAsia" w:hAnsi="Times New Roman" w:cs="Times New Roman"/>
        </w:rPr>
        <w:t xml:space="preserve">  </w:t>
      </w:r>
    </w:p>
    <w:p w14:paraId="58BA1625" w14:textId="71A2D593" w:rsidR="00100A39" w:rsidRPr="007C553C" w:rsidRDefault="00100A39" w:rsidP="00100A39">
      <w:pPr>
        <w:pStyle w:val="BodyText"/>
        <w:keepNext/>
        <w:spacing w:before="100" w:beforeAutospacing="1" w:after="100" w:afterAutospacing="1"/>
        <w:rPr>
          <w:rFonts w:ascii="Times New Roman" w:hAnsi="Times New Roman" w:cs="Times New Roman"/>
          <w:i/>
          <w:iCs/>
          <w:sz w:val="20"/>
          <w:szCs w:val="20"/>
        </w:rPr>
      </w:pPr>
      <w:r w:rsidRPr="007C553C">
        <w:rPr>
          <w:rFonts w:ascii="Times New Roman" w:hAnsi="Times New Roman" w:cs="Times New Roman"/>
          <w:sz w:val="20"/>
          <w:szCs w:val="20"/>
        </w:rPr>
        <w:t xml:space="preserve">The following summarizes our estimated fees.  </w:t>
      </w:r>
      <w:r w:rsidRPr="007C553C">
        <w:rPr>
          <w:rFonts w:ascii="Times New Roman" w:eastAsia="Batang" w:hAnsi="Times New Roman" w:cs="Times New Roman"/>
          <w:color w:val="000000"/>
          <w:sz w:val="20"/>
          <w:szCs w:val="20"/>
        </w:rPr>
        <w:t>Our professional fees will be based on the actual time required to complete the agreed upon work at hourly rates identified for the professionals assigned to the engagement</w:t>
      </w:r>
      <w:r w:rsidR="007C553C">
        <w:rPr>
          <w:rFonts w:ascii="Times New Roman" w:eastAsia="Batang" w:hAnsi="Times New Roman" w:cs="Times New Roman"/>
          <w:color w:val="000000"/>
          <w:sz w:val="20"/>
          <w:szCs w:val="20"/>
        </w:rPr>
        <w:t>, however, would be capped as follows:</w:t>
      </w:r>
    </w:p>
    <w:p w14:paraId="75F07C74" w14:textId="504EE9AF" w:rsidR="00100A39" w:rsidRDefault="00100A39" w:rsidP="00100A39">
      <w:pPr>
        <w:pStyle w:val="BodyText"/>
        <w:keepNext/>
        <w:numPr>
          <w:ilvl w:val="0"/>
          <w:numId w:val="17"/>
        </w:numPr>
        <w:spacing w:before="100" w:beforeAutospacing="1" w:after="100" w:afterAutospacing="1"/>
        <w:rPr>
          <w:rFonts w:ascii="Times New Roman" w:hAnsi="Times New Roman" w:cs="Times New Roman"/>
          <w:i/>
          <w:iCs/>
          <w:sz w:val="20"/>
          <w:szCs w:val="20"/>
        </w:rPr>
      </w:pPr>
      <w:r>
        <w:rPr>
          <w:rFonts w:ascii="Times New Roman" w:hAnsi="Times New Roman" w:cs="Times New Roman"/>
          <w:i/>
          <w:iCs/>
          <w:sz w:val="20"/>
          <w:szCs w:val="20"/>
        </w:rPr>
        <w:t>Tax</w:t>
      </w:r>
      <w:r w:rsidRPr="007D58B0">
        <w:rPr>
          <w:rFonts w:ascii="Times New Roman" w:hAnsi="Times New Roman" w:cs="Times New Roman"/>
          <w:i/>
          <w:iCs/>
          <w:sz w:val="20"/>
          <w:szCs w:val="20"/>
        </w:rPr>
        <w:t xml:space="preserve"> due diligence</w:t>
      </w:r>
      <w:r>
        <w:rPr>
          <w:rFonts w:ascii="Times New Roman" w:hAnsi="Times New Roman" w:cs="Times New Roman"/>
          <w:i/>
          <w:iCs/>
          <w:sz w:val="20"/>
          <w:szCs w:val="20"/>
        </w:rPr>
        <w:tab/>
      </w:r>
      <w:r>
        <w:rPr>
          <w:rFonts w:ascii="Times New Roman" w:hAnsi="Times New Roman" w:cs="Times New Roman"/>
          <w:i/>
          <w:iCs/>
          <w:sz w:val="20"/>
          <w:szCs w:val="20"/>
        </w:rPr>
        <w:tab/>
      </w:r>
      <w:r w:rsidRPr="007D58B0">
        <w:rPr>
          <w:rFonts w:ascii="Times New Roman" w:hAnsi="Times New Roman" w:cs="Times New Roman"/>
          <w:i/>
          <w:iCs/>
          <w:sz w:val="20"/>
          <w:szCs w:val="20"/>
        </w:rPr>
        <w:t xml:space="preserve"> </w:t>
      </w:r>
      <w:r>
        <w:rPr>
          <w:rFonts w:ascii="Times New Roman" w:hAnsi="Times New Roman" w:cs="Times New Roman"/>
          <w:i/>
          <w:iCs/>
          <w:sz w:val="20"/>
          <w:szCs w:val="20"/>
        </w:rPr>
        <w:tab/>
        <w:t>CAD$175,000</w:t>
      </w:r>
    </w:p>
    <w:p w14:paraId="25E36760" w14:textId="7A4FB698" w:rsidR="00100A39" w:rsidRPr="007D58B0" w:rsidRDefault="007C553C" w:rsidP="00100A39">
      <w:pPr>
        <w:pStyle w:val="BodyText"/>
        <w:keepNext/>
        <w:numPr>
          <w:ilvl w:val="0"/>
          <w:numId w:val="17"/>
        </w:numPr>
        <w:spacing w:before="100" w:beforeAutospacing="1" w:after="100" w:afterAutospacing="1"/>
        <w:rPr>
          <w:rFonts w:ascii="Times New Roman" w:hAnsi="Times New Roman" w:cs="Times New Roman"/>
          <w:i/>
          <w:iCs/>
          <w:sz w:val="20"/>
          <w:szCs w:val="20"/>
        </w:rPr>
      </w:pPr>
      <w:r>
        <w:rPr>
          <w:rFonts w:ascii="Times New Roman" w:hAnsi="Times New Roman" w:cs="Times New Roman"/>
          <w:i/>
          <w:iCs/>
          <w:sz w:val="20"/>
          <w:szCs w:val="20"/>
        </w:rPr>
        <w:t>Tax due diligence (failed deal)</w:t>
      </w:r>
      <w:r w:rsidR="00100A39">
        <w:rPr>
          <w:rFonts w:ascii="Times New Roman" w:hAnsi="Times New Roman" w:cs="Times New Roman"/>
          <w:i/>
          <w:iCs/>
          <w:sz w:val="20"/>
          <w:szCs w:val="20"/>
        </w:rPr>
        <w:t xml:space="preserve"> </w:t>
      </w:r>
      <w:r w:rsidR="00100A39">
        <w:rPr>
          <w:rFonts w:ascii="Times New Roman" w:hAnsi="Times New Roman" w:cs="Times New Roman"/>
          <w:i/>
          <w:iCs/>
          <w:sz w:val="20"/>
          <w:szCs w:val="20"/>
        </w:rPr>
        <w:tab/>
      </w:r>
      <w:r>
        <w:rPr>
          <w:rFonts w:ascii="Times New Roman" w:hAnsi="Times New Roman" w:cs="Times New Roman"/>
          <w:i/>
          <w:iCs/>
          <w:sz w:val="20"/>
          <w:szCs w:val="20"/>
        </w:rPr>
        <w:tab/>
      </w:r>
      <w:r w:rsidR="00100A39">
        <w:rPr>
          <w:rFonts w:ascii="Times New Roman" w:hAnsi="Times New Roman" w:cs="Times New Roman"/>
          <w:i/>
          <w:iCs/>
          <w:sz w:val="20"/>
          <w:szCs w:val="20"/>
        </w:rPr>
        <w:t>CAD$</w:t>
      </w:r>
      <w:r>
        <w:rPr>
          <w:rFonts w:ascii="Times New Roman" w:hAnsi="Times New Roman" w:cs="Times New Roman"/>
          <w:i/>
          <w:iCs/>
          <w:sz w:val="20"/>
          <w:szCs w:val="20"/>
        </w:rPr>
        <w:t>150</w:t>
      </w:r>
      <w:r w:rsidR="00100A39">
        <w:rPr>
          <w:rFonts w:ascii="Times New Roman" w:hAnsi="Times New Roman" w:cs="Times New Roman"/>
          <w:i/>
          <w:iCs/>
          <w:sz w:val="20"/>
          <w:szCs w:val="20"/>
        </w:rPr>
        <w:t>,000</w:t>
      </w:r>
    </w:p>
    <w:p w14:paraId="02924982" w14:textId="59E005A9" w:rsidR="00100A39" w:rsidRPr="00201890" w:rsidRDefault="00100A39" w:rsidP="00100A39">
      <w:pPr>
        <w:pStyle w:val="pwnumbered-level1styles-4d920a25-9d91-c2a7-6487-8cf3fbeab2af"/>
        <w:keepLines/>
        <w:numPr>
          <w:ilvl w:val="0"/>
          <w:numId w:val="0"/>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b/>
          <w:bCs/>
          <w:u w:val="single"/>
        </w:rPr>
        <w:br w:type="page"/>
        <w:t xml:space="preserve">Canadian Tax Due Diligence Procedures </w:t>
      </w:r>
    </w:p>
    <w:p w14:paraId="411AB606" w14:textId="77777777" w:rsidR="00100A39" w:rsidRPr="00100A39" w:rsidRDefault="00100A39" w:rsidP="00100A39">
      <w:pPr>
        <w:pStyle w:val="pwnumbered-level1styles-4d920a25-9d91-c2a7-6487-8cf3fbeab2af"/>
        <w:keepLines/>
        <w:numPr>
          <w:ilvl w:val="0"/>
          <w:numId w:val="0"/>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Our Canadian tax due diligence procedures for the period under investigation consist of the following procedures. </w:t>
      </w:r>
    </w:p>
    <w:p w14:paraId="38C5EE0E" w14:textId="77777777" w:rsidR="00100A39" w:rsidRPr="00100A39" w:rsidRDefault="00100A39" w:rsidP="00100A39">
      <w:pPr>
        <w:pStyle w:val="pwnumbered-level1styles-4d920a25-9d91-c2a7-6487-8cf3fbeab2af"/>
        <w:keepLines/>
        <w:numPr>
          <w:ilvl w:val="0"/>
          <w:numId w:val="0"/>
        </w:numPr>
        <w:autoSpaceDE w:val="0"/>
        <w:autoSpaceDN w:val="0"/>
        <w:spacing w:before="120" w:after="120"/>
        <w:ind w:left="360" w:hanging="360"/>
        <w:rPr>
          <w:rStyle w:val="ClearFont"/>
          <w:rFonts w:ascii="Times New Roman" w:eastAsiaTheme="majorEastAsia" w:hAnsi="Times New Roman" w:cs="Times New Roman"/>
          <w:b/>
          <w:bCs/>
        </w:rPr>
      </w:pPr>
      <w:r w:rsidRPr="00100A39">
        <w:rPr>
          <w:rStyle w:val="ClearFont"/>
          <w:rFonts w:ascii="Times New Roman" w:eastAsiaTheme="majorEastAsia" w:hAnsi="Times New Roman" w:cs="Times New Roman"/>
          <w:b/>
          <w:bCs/>
        </w:rPr>
        <w:t>General</w:t>
      </w:r>
    </w:p>
    <w:p w14:paraId="1C4A72D1" w14:textId="77777777" w:rsidR="00100A39" w:rsidRPr="00100A39" w:rsidRDefault="00100A39" w:rsidP="00100A39">
      <w:pPr>
        <w:pStyle w:val="pwnumbered-level1styles-4d920a25-9d91-c2a7-6487-8cf3fbeab2af"/>
        <w:keepLines/>
        <w:numPr>
          <w:ilvl w:val="0"/>
          <w:numId w:val="26"/>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Inquire with Target management and/or their tax advisors about:</w:t>
      </w:r>
    </w:p>
    <w:p w14:paraId="6F238CB2" w14:textId="77777777" w:rsidR="00100A39" w:rsidRPr="00100A39" w:rsidRDefault="00100A39" w:rsidP="00100A39">
      <w:pPr>
        <w:pStyle w:val="pwnumbered-level2styles-4d920a25-9d91-c2a7-6487-8cf3fbeab2af"/>
        <w:keepLines/>
        <w:numPr>
          <w:ilvl w:val="1"/>
          <w:numId w:val="26"/>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Overview of business operations of the Significant Target Entities and detailed description of Target’s revenue </w:t>
      </w:r>
      <w:proofErr w:type="gramStart"/>
      <w:r w:rsidRPr="00100A39">
        <w:rPr>
          <w:rStyle w:val="ClearFont"/>
          <w:rFonts w:ascii="Times New Roman" w:eastAsiaTheme="majorEastAsia" w:hAnsi="Times New Roman" w:cs="Times New Roman"/>
        </w:rPr>
        <w:t>streams;</w:t>
      </w:r>
      <w:proofErr w:type="gramEnd"/>
    </w:p>
    <w:p w14:paraId="41D98186" w14:textId="77777777" w:rsidR="00100A39" w:rsidRPr="00100A39" w:rsidRDefault="00100A39" w:rsidP="00100A39">
      <w:pPr>
        <w:pStyle w:val="pwnumbered-level2styles-4d920a25-9d91-c2a7-6487-8cf3fbeab2af"/>
        <w:keepLines/>
        <w:numPr>
          <w:ilvl w:val="1"/>
          <w:numId w:val="26"/>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Nature of systems to ensure compliance with tax laws (in applicable jurisdictions including sales tax, and payroll).</w:t>
      </w:r>
    </w:p>
    <w:p w14:paraId="504ACB12" w14:textId="77777777" w:rsidR="00100A39" w:rsidRPr="00100A39" w:rsidRDefault="00100A39" w:rsidP="00100A39">
      <w:pPr>
        <w:pStyle w:val="pwnumbered-level2styles-4d920a25-9d91-c2a7-6487-8cf3fbeab2af"/>
        <w:keepLines/>
        <w:numPr>
          <w:ilvl w:val="1"/>
          <w:numId w:val="26"/>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Significant tax planning arrangements and transactions (including strategies and related transaction costs), dispositions/divestitures, financings, and reorganizations), and tax treatment thereof, including benefits </w:t>
      </w:r>
      <w:proofErr w:type="gramStart"/>
      <w:r w:rsidRPr="00100A39">
        <w:rPr>
          <w:rStyle w:val="ClearFont"/>
          <w:rFonts w:ascii="Times New Roman" w:eastAsiaTheme="majorEastAsia" w:hAnsi="Times New Roman" w:cs="Times New Roman"/>
        </w:rPr>
        <w:t>obtained;</w:t>
      </w:r>
      <w:proofErr w:type="gramEnd"/>
    </w:p>
    <w:p w14:paraId="605D3FC3" w14:textId="77777777" w:rsidR="00100A39" w:rsidRPr="00100A39" w:rsidRDefault="00100A39" w:rsidP="00100A39">
      <w:pPr>
        <w:pStyle w:val="pwnumbered-level2styles-4d920a25-9d91-c2a7-6487-8cf3fbeab2af"/>
        <w:keepLines/>
        <w:numPr>
          <w:ilvl w:val="1"/>
          <w:numId w:val="26"/>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Any unclaimed deductions such as CCA or financing/share issuance </w:t>
      </w:r>
      <w:proofErr w:type="gramStart"/>
      <w:r w:rsidRPr="00100A39">
        <w:rPr>
          <w:rStyle w:val="ClearFont"/>
          <w:rFonts w:ascii="Times New Roman" w:eastAsiaTheme="majorEastAsia" w:hAnsi="Times New Roman" w:cs="Times New Roman"/>
        </w:rPr>
        <w:t>costs;</w:t>
      </w:r>
      <w:proofErr w:type="gramEnd"/>
    </w:p>
    <w:p w14:paraId="74640DF4" w14:textId="77777777" w:rsidR="00100A39" w:rsidRPr="00100A39" w:rsidRDefault="00100A39" w:rsidP="00100A39">
      <w:pPr>
        <w:pStyle w:val="pwnumbered-level2styles-4d920a25-9d91-c2a7-6487-8cf3fbeab2af"/>
        <w:keepLines/>
        <w:numPr>
          <w:ilvl w:val="1"/>
          <w:numId w:val="26"/>
        </w:numPr>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Procedures regarding monitoring ACB and at-risk </w:t>
      </w:r>
      <w:proofErr w:type="gramStart"/>
      <w:r w:rsidRPr="00100A39">
        <w:rPr>
          <w:rStyle w:val="ClearFont"/>
          <w:rFonts w:ascii="Times New Roman" w:eastAsiaTheme="majorEastAsia" w:hAnsi="Times New Roman" w:cs="Times New Roman"/>
        </w:rPr>
        <w:t>amounts;</w:t>
      </w:r>
      <w:proofErr w:type="gramEnd"/>
    </w:p>
    <w:p w14:paraId="3D783BFB"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Results of significant tax audits including jurisdictions subject to audit, quantum of known or proposed audit adjustments and, status of current/pending audits (income tax, sales tax, land transfer tax, and payroll tax), and compliance history in respect of </w:t>
      </w:r>
      <w:proofErr w:type="gramStart"/>
      <w:r w:rsidRPr="00100A39">
        <w:rPr>
          <w:rStyle w:val="ClearFont"/>
          <w:rFonts w:ascii="Times New Roman" w:eastAsiaTheme="majorEastAsia" w:hAnsi="Times New Roman" w:cs="Times New Roman"/>
        </w:rPr>
        <w:t>same;</w:t>
      </w:r>
      <w:proofErr w:type="gramEnd"/>
    </w:p>
    <w:p w14:paraId="48A1ED37"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Historical tax positions taken including the quantum of reserves for uncertain tax positions included in the financial statements and the basis for those reserves (unclaimed deductions such as CCA, land transfer tax</w:t>
      </w:r>
      <w:proofErr w:type="gramStart"/>
      <w:r w:rsidRPr="00100A39">
        <w:rPr>
          <w:rStyle w:val="ClearFont"/>
          <w:rFonts w:ascii="Times New Roman" w:eastAsiaTheme="majorEastAsia" w:hAnsi="Times New Roman" w:cs="Times New Roman"/>
        </w:rPr>
        <w:t>);</w:t>
      </w:r>
      <w:proofErr w:type="gramEnd"/>
    </w:p>
    <w:p w14:paraId="07163971"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Canadian Target’s cross-border business travel, including Regulation 102 and 105 withholding obligations, if </w:t>
      </w:r>
      <w:proofErr w:type="gramStart"/>
      <w:r w:rsidRPr="00100A39">
        <w:rPr>
          <w:rStyle w:val="ClearFont"/>
          <w:rFonts w:ascii="Times New Roman" w:eastAsiaTheme="majorEastAsia" w:hAnsi="Times New Roman" w:cs="Times New Roman"/>
        </w:rPr>
        <w:t>applicable;</w:t>
      </w:r>
      <w:proofErr w:type="gramEnd"/>
    </w:p>
    <w:p w14:paraId="7AA64B16"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COVID-19 government relief received (Canada Emergency Wage Subsidy), and tax compliance </w:t>
      </w:r>
      <w:proofErr w:type="gramStart"/>
      <w:r w:rsidRPr="00100A39">
        <w:rPr>
          <w:rStyle w:val="ClearFont"/>
          <w:rFonts w:ascii="Times New Roman" w:eastAsiaTheme="majorEastAsia" w:hAnsi="Times New Roman" w:cs="Times New Roman"/>
        </w:rPr>
        <w:t>thereof;</w:t>
      </w:r>
      <w:proofErr w:type="gramEnd"/>
      <w:r w:rsidRPr="00100A39">
        <w:rPr>
          <w:rStyle w:val="ClearFont"/>
          <w:rFonts w:ascii="Times New Roman" w:eastAsiaTheme="majorEastAsia" w:hAnsi="Times New Roman" w:cs="Times New Roman"/>
        </w:rPr>
        <w:t xml:space="preserve"> </w:t>
      </w:r>
    </w:p>
    <w:p w14:paraId="589B7D2F"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Quantum of non-arm’s length transactions including basis of pricing/valuation, type of transaction and documentation available to support the transactions; and, </w:t>
      </w:r>
    </w:p>
    <w:p w14:paraId="601E4705"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Results of analysis undertaken in respect of Excessive Interest and Financing Expenses Limitation (“</w:t>
      </w:r>
      <w:r w:rsidRPr="00100A39">
        <w:rPr>
          <w:rStyle w:val="ClearFont"/>
          <w:rFonts w:ascii="Times New Roman" w:eastAsiaTheme="majorEastAsia" w:hAnsi="Times New Roman" w:cs="Times New Roman"/>
          <w:b/>
          <w:bCs/>
        </w:rPr>
        <w:t>EIFEL</w:t>
      </w:r>
      <w:r w:rsidRPr="00100A39">
        <w:rPr>
          <w:rStyle w:val="ClearFont"/>
          <w:rFonts w:ascii="Times New Roman" w:eastAsiaTheme="majorEastAsia" w:hAnsi="Times New Roman" w:cs="Times New Roman"/>
        </w:rPr>
        <w:t>”) legislation.</w:t>
      </w:r>
    </w:p>
    <w:p w14:paraId="04976795"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correspondence from internal and external tax advisors with respect to significant tax matters, including acquisitions (such as tax due diligence reports in respect of recent acquisitions), dispositions, restructurings, and tax strategies of the Significant Target Entities, as made available to us.</w:t>
      </w:r>
    </w:p>
    <w:p w14:paraId="3F6D6DA9"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the tax sections of the audit working paper files for FY23 and FY24.</w:t>
      </w:r>
    </w:p>
    <w:p w14:paraId="6414BE84"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summary analysis of uncertain tax positions for the last two taxation years prepared by Target.</w:t>
      </w:r>
    </w:p>
    <w:p w14:paraId="0ADDAACB" w14:textId="77777777" w:rsidR="00100A39" w:rsidRPr="00100A39" w:rsidRDefault="00100A39" w:rsidP="00100A39">
      <w:pPr>
        <w:pStyle w:val="pwnumbered-level1styles-4d920a25-9d91-c2a7-6487-8cf3fbeab2af"/>
        <w:keepLines/>
        <w:numPr>
          <w:ilvl w:val="0"/>
          <w:numId w:val="0"/>
        </w:numPr>
        <w:autoSpaceDE w:val="0"/>
        <w:autoSpaceDN w:val="0"/>
        <w:spacing w:before="120" w:after="120"/>
        <w:rPr>
          <w:rStyle w:val="ClearFont"/>
          <w:rFonts w:ascii="Times New Roman" w:eastAsiaTheme="majorEastAsia" w:hAnsi="Times New Roman" w:cs="Times New Roman"/>
          <w:b/>
          <w:bCs/>
        </w:rPr>
      </w:pPr>
      <w:r w:rsidRPr="00100A39">
        <w:rPr>
          <w:rStyle w:val="ClearFont"/>
          <w:rFonts w:ascii="Times New Roman" w:eastAsiaTheme="majorEastAsia" w:hAnsi="Times New Roman" w:cs="Times New Roman"/>
          <w:b/>
          <w:bCs/>
        </w:rPr>
        <w:t>Income tax</w:t>
      </w:r>
    </w:p>
    <w:p w14:paraId="74EDE33E"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tax returns and withholding tax returns filed by the Significant Target Entities, including T2, T3, T5 T5013 and provincial equivalents, supporting workpapers, related legal entity financial statements and schedules reconciling income reported on the trusts to consolidated financial statements, as made available to us.</w:t>
      </w:r>
    </w:p>
    <w:p w14:paraId="6533B5E3"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schedules of tax basis of significant assets of Target.</w:t>
      </w:r>
    </w:p>
    <w:p w14:paraId="0BD5A2C1"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REIT qualification testing analysis prepared by Target for period under investigation and comment on same in respect of the relevant provisions of the Income Tax Act.</w:t>
      </w:r>
    </w:p>
    <w:p w14:paraId="1DD17F10"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MFT qualification testing analysis prepared by Target for period under investigation and comment on same in respect of the relevant provisions of the Income Tax Act.</w:t>
      </w:r>
    </w:p>
    <w:p w14:paraId="09043E17"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an estimate of the inherent recapture in the structure.</w:t>
      </w:r>
    </w:p>
    <w:p w14:paraId="02CEB174"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documentation supporting related party arrangements, as made available to us.</w:t>
      </w:r>
    </w:p>
    <w:p w14:paraId="4E7A725A"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tax election filed by Significant Target Entities, as made available to us.</w:t>
      </w:r>
    </w:p>
    <w:p w14:paraId="4A81BDEA" w14:textId="77777777" w:rsidR="00100A39" w:rsidRPr="00100A39" w:rsidRDefault="00100A39" w:rsidP="00100A39">
      <w:pPr>
        <w:pStyle w:val="pwnumbered-level1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Obtain and read the adjusted cost base and at-risk amount calculations in respect of any partnerships within the structure and obtain and read of partnership agreement(s) if applicable. </w:t>
      </w:r>
    </w:p>
    <w:p w14:paraId="6E5F94F8" w14:textId="77777777" w:rsidR="00100A39" w:rsidRPr="00100A39" w:rsidRDefault="00100A39" w:rsidP="00100A39">
      <w:pPr>
        <w:pStyle w:val="pwnumbered-level1styles-4d920a25-9d91-c2a7-6487-8cf3fbeab2af"/>
        <w:keepLines/>
        <w:numPr>
          <w:ilvl w:val="0"/>
          <w:numId w:val="0"/>
        </w:numPr>
        <w:autoSpaceDE w:val="0"/>
        <w:autoSpaceDN w:val="0"/>
        <w:spacing w:before="120" w:after="120"/>
        <w:rPr>
          <w:rStyle w:val="ClearFont"/>
          <w:rFonts w:ascii="Times New Roman" w:eastAsiaTheme="majorEastAsia" w:hAnsi="Times New Roman" w:cs="Times New Roman"/>
          <w:b/>
          <w:bCs/>
        </w:rPr>
      </w:pPr>
      <w:r w:rsidRPr="00100A39">
        <w:rPr>
          <w:rStyle w:val="ClearFont"/>
          <w:rFonts w:ascii="Times New Roman" w:eastAsiaTheme="majorEastAsia" w:hAnsi="Times New Roman" w:cs="Times New Roman"/>
          <w:b/>
          <w:bCs/>
        </w:rPr>
        <w:t>Employment taxes</w:t>
      </w:r>
    </w:p>
    <w:p w14:paraId="63E2DB90"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Inquire with Target management and/or their tax advisors about:</w:t>
      </w:r>
    </w:p>
    <w:p w14:paraId="110E0BB1"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Target’s payroll tax compliance status, including internal procedures related to payroll tax </w:t>
      </w:r>
      <w:proofErr w:type="gramStart"/>
      <w:r w:rsidRPr="00100A39">
        <w:rPr>
          <w:rStyle w:val="ClearFont"/>
          <w:rFonts w:ascii="Times New Roman" w:eastAsiaTheme="majorEastAsia" w:hAnsi="Times New Roman" w:cs="Times New Roman"/>
        </w:rPr>
        <w:t>compliance;</w:t>
      </w:r>
      <w:proofErr w:type="gramEnd"/>
    </w:p>
    <w:p w14:paraId="62E339C0"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Whether Target has been subject to and results of significant payroll tax </w:t>
      </w:r>
      <w:proofErr w:type="gramStart"/>
      <w:r w:rsidRPr="00100A39">
        <w:rPr>
          <w:rStyle w:val="ClearFont"/>
          <w:rFonts w:ascii="Times New Roman" w:eastAsiaTheme="majorEastAsia" w:hAnsi="Times New Roman" w:cs="Times New Roman"/>
        </w:rPr>
        <w:t>audits;</w:t>
      </w:r>
      <w:proofErr w:type="gramEnd"/>
    </w:p>
    <w:p w14:paraId="422B5A49"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Extent of use and tax treatment of individual independent or self-employed contractors, temporary workers or ‘casual </w:t>
      </w:r>
      <w:proofErr w:type="gramStart"/>
      <w:r w:rsidRPr="00100A39">
        <w:rPr>
          <w:rStyle w:val="ClearFont"/>
          <w:rFonts w:ascii="Times New Roman" w:eastAsiaTheme="majorEastAsia" w:hAnsi="Times New Roman" w:cs="Times New Roman"/>
        </w:rPr>
        <w:t>workers’;</w:t>
      </w:r>
      <w:proofErr w:type="gramEnd"/>
    </w:p>
    <w:p w14:paraId="14336CB4"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Payments to key employees that are contingent on closing of the Transaction; and</w:t>
      </w:r>
    </w:p>
    <w:p w14:paraId="13DDE220"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Long term incentive plan, employee unit purchase plan and special bonus programs for key </w:t>
      </w:r>
      <w:proofErr w:type="gramStart"/>
      <w:r w:rsidRPr="00100A39">
        <w:rPr>
          <w:rStyle w:val="ClearFont"/>
          <w:rFonts w:ascii="Times New Roman" w:eastAsiaTheme="majorEastAsia" w:hAnsi="Times New Roman" w:cs="Times New Roman"/>
        </w:rPr>
        <w:t>employees</w:t>
      </w:r>
      <w:proofErr w:type="gramEnd"/>
      <w:r w:rsidRPr="00100A39">
        <w:rPr>
          <w:rStyle w:val="ClearFont"/>
          <w:rFonts w:ascii="Times New Roman" w:eastAsiaTheme="majorEastAsia" w:hAnsi="Times New Roman" w:cs="Times New Roman"/>
        </w:rPr>
        <w:t xml:space="preserve"> contingent on closing and consider deductibility and significant employee taxable benefit implications of such plans.</w:t>
      </w:r>
    </w:p>
    <w:p w14:paraId="4238A9F6" w14:textId="77777777" w:rsidR="00100A39" w:rsidRPr="00100A39" w:rsidRDefault="00100A39" w:rsidP="00100A39">
      <w:pPr>
        <w:pStyle w:val="pwnumbered-level1styles-4d920a25-9d91-c2a7-6487-8cf3fbeab2af"/>
        <w:keepLines/>
        <w:numPr>
          <w:ilvl w:val="0"/>
          <w:numId w:val="0"/>
        </w:numPr>
        <w:autoSpaceDE w:val="0"/>
        <w:autoSpaceDN w:val="0"/>
        <w:spacing w:before="120" w:after="120"/>
        <w:rPr>
          <w:rStyle w:val="ClearFont"/>
          <w:rFonts w:ascii="Times New Roman" w:eastAsiaTheme="majorEastAsia" w:hAnsi="Times New Roman" w:cs="Times New Roman"/>
          <w:b/>
          <w:bCs/>
        </w:rPr>
      </w:pPr>
      <w:r w:rsidRPr="00100A39">
        <w:rPr>
          <w:rStyle w:val="ClearFont"/>
          <w:rFonts w:ascii="Times New Roman" w:eastAsiaTheme="majorEastAsia" w:hAnsi="Times New Roman" w:cs="Times New Roman"/>
          <w:b/>
          <w:bCs/>
        </w:rPr>
        <w:t>Sales tax</w:t>
      </w:r>
    </w:p>
    <w:p w14:paraId="12DD0F06" w14:textId="77777777" w:rsidR="00100A39" w:rsidRPr="00100A39" w:rsidRDefault="00100A39" w:rsidP="00100A39">
      <w:pPr>
        <w:pStyle w:val="pwnumbered-level1styles-4d920a25-9d91-c2a7-6487-8cf3fbeab2af"/>
        <w:keepLines/>
        <w:autoSpaceDE w:val="0"/>
        <w:autoSpaceDN w:val="0"/>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Inquire with Target management and/or their tax advisors about:</w:t>
      </w:r>
    </w:p>
    <w:p w14:paraId="459605B0"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 xml:space="preserve">Target’s indirect tax compliance status, including internal procedures related to indirect tax </w:t>
      </w:r>
      <w:proofErr w:type="gramStart"/>
      <w:r w:rsidRPr="00100A39">
        <w:rPr>
          <w:rStyle w:val="ClearFont"/>
          <w:rFonts w:ascii="Times New Roman" w:eastAsiaTheme="majorEastAsia" w:hAnsi="Times New Roman" w:cs="Times New Roman"/>
        </w:rPr>
        <w:t>compliance;</w:t>
      </w:r>
      <w:proofErr w:type="gramEnd"/>
    </w:p>
    <w:p w14:paraId="276506BB"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Target’s indirect tax treatment of related party transactions including management and incentive fees; and</w:t>
      </w:r>
    </w:p>
    <w:p w14:paraId="69C00CF2" w14:textId="77777777" w:rsidR="00100A39" w:rsidRPr="00100A39" w:rsidRDefault="00100A39" w:rsidP="00100A39">
      <w:pPr>
        <w:pStyle w:val="pwnumbered-level2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Indirect tax status of Target’s revenue, e.g., taxable/non-taxable supplies, and restrictions on recovery of input tax credits (including detailed schedule of methodology used to determine/pro-rate input tax credits</w:t>
      </w:r>
      <w:proofErr w:type="gramStart"/>
      <w:r w:rsidRPr="00100A39">
        <w:rPr>
          <w:rStyle w:val="ClearFont"/>
          <w:rFonts w:ascii="Times New Roman" w:eastAsiaTheme="majorEastAsia" w:hAnsi="Times New Roman" w:cs="Times New Roman"/>
        </w:rPr>
        <w:t>);</w:t>
      </w:r>
      <w:proofErr w:type="gramEnd"/>
    </w:p>
    <w:p w14:paraId="07BD9807" w14:textId="77777777" w:rsidR="00100A39" w:rsidRPr="00100A39" w:rsidRDefault="00100A39" w:rsidP="00100A39">
      <w:pPr>
        <w:pStyle w:val="pwnumbered-level1styles-4d920a25-9d91-c2a7-6487-8cf3fbeab2af"/>
        <w:spacing w:before="120" w:after="120"/>
        <w:rPr>
          <w:rStyle w:val="ClearFont"/>
          <w:rFonts w:ascii="Times New Roman" w:eastAsiaTheme="majorEastAsia" w:hAnsi="Times New Roman" w:cs="Times New Roman"/>
        </w:rPr>
      </w:pPr>
      <w:r w:rsidRPr="00100A39">
        <w:rPr>
          <w:rStyle w:val="ClearFont"/>
          <w:rFonts w:ascii="Times New Roman" w:eastAsiaTheme="majorEastAsia" w:hAnsi="Times New Roman" w:cs="Times New Roman"/>
        </w:rPr>
        <w:t>Obtain and read related party GST/HST and QST elections.</w:t>
      </w:r>
    </w:p>
    <w:p w14:paraId="0F7DFE8A" w14:textId="77777777" w:rsidR="00100A39" w:rsidRPr="00100A39" w:rsidRDefault="00100A39" w:rsidP="00100A39">
      <w:pPr>
        <w:pStyle w:val="pwnumbered-level1styles-4d920a25-9d91-c2a7-6487-8cf3fbeab2af"/>
        <w:keepLines/>
        <w:numPr>
          <w:ilvl w:val="0"/>
          <w:numId w:val="0"/>
        </w:numPr>
        <w:autoSpaceDE w:val="0"/>
        <w:autoSpaceDN w:val="0"/>
        <w:spacing w:before="120" w:after="120"/>
        <w:rPr>
          <w:rFonts w:ascii="Times New Roman" w:eastAsia="Arial" w:hAnsi="Times New Roman" w:cs="Times New Roman"/>
          <w:b/>
          <w:bCs/>
          <w:lang w:bidi="en-US"/>
        </w:rPr>
      </w:pPr>
      <w:r w:rsidRPr="00100A39">
        <w:rPr>
          <w:rFonts w:ascii="Times New Roman" w:eastAsia="Arial" w:hAnsi="Times New Roman" w:cs="Times New Roman"/>
          <w:b/>
          <w:bCs/>
          <w:lang w:bidi="en-US"/>
        </w:rPr>
        <w:t>Reporting</w:t>
      </w:r>
    </w:p>
    <w:p w14:paraId="4FBBC01F" w14:textId="19741EF1" w:rsidR="00100A39" w:rsidRPr="00100A39" w:rsidRDefault="00100A39" w:rsidP="00100A39">
      <w:pPr>
        <w:pStyle w:val="pwnumbered-level1styles-4d920a25-9d91-c2a7-6487-8cf3fbeab2af"/>
        <w:numPr>
          <w:ilvl w:val="0"/>
          <w:numId w:val="0"/>
        </w:numPr>
        <w:spacing w:before="120" w:after="120"/>
        <w:rPr>
          <w:rFonts w:ascii="Times New Roman" w:hAnsi="Times New Roman" w:cs="Times New Roman"/>
        </w:rPr>
      </w:pPr>
      <w:r w:rsidRPr="00100A39">
        <w:rPr>
          <w:rFonts w:ascii="Times New Roman" w:hAnsi="Times New Roman" w:cs="Times New Roman"/>
        </w:rPr>
        <w:t xml:space="preserve">Based on the above sources of information, consider, and prepare a tax due diligence report including supporting analysis on potential tax exposures identified. </w:t>
      </w:r>
    </w:p>
    <w:p w14:paraId="7F8638D5" w14:textId="34EBA8E9" w:rsidR="005A45DB" w:rsidRPr="007D58B0" w:rsidRDefault="005A45DB" w:rsidP="005A45DB">
      <w:pPr>
        <w:spacing w:before="100" w:beforeAutospacing="1" w:after="100" w:afterAutospacing="1"/>
        <w:jc w:val="both"/>
        <w:rPr>
          <w:rFonts w:ascii="Times New Roman" w:hAnsi="Times New Roman" w:cs="Times New Roman"/>
          <w:b/>
          <w:bCs/>
          <w:i/>
          <w:iCs/>
          <w:sz w:val="20"/>
          <w:szCs w:val="20"/>
          <w:u w:val="single"/>
        </w:rPr>
      </w:pPr>
      <w:r w:rsidRPr="007D58B0">
        <w:rPr>
          <w:rFonts w:ascii="Times New Roman" w:hAnsi="Times New Roman" w:cs="Times New Roman"/>
          <w:b/>
          <w:bCs/>
          <w:i/>
          <w:iCs/>
          <w:sz w:val="20"/>
          <w:szCs w:val="20"/>
          <w:u w:val="single"/>
        </w:rPr>
        <w:t>FINANCIAL DUE DILIGENCE SCOPE OF WORK</w:t>
      </w:r>
    </w:p>
    <w:p w14:paraId="5B3F2ED3" w14:textId="44DDE087" w:rsidR="005A45DB" w:rsidRPr="007D58B0" w:rsidRDefault="005A45DB" w:rsidP="005A45DB">
      <w:pPr>
        <w:pStyle w:val="BodyText"/>
        <w:keepNext/>
        <w:spacing w:before="100" w:beforeAutospacing="1" w:after="100" w:afterAutospacing="1"/>
        <w:rPr>
          <w:rFonts w:ascii="Times New Roman" w:hAnsi="Times New Roman" w:cs="Times New Roman"/>
          <w:i/>
          <w:iCs/>
          <w:sz w:val="20"/>
          <w:szCs w:val="20"/>
        </w:rPr>
      </w:pPr>
      <w:r w:rsidRPr="007D58B0">
        <w:rPr>
          <w:rFonts w:ascii="Times New Roman" w:hAnsi="Times New Roman" w:cs="Times New Roman"/>
          <w:i/>
          <w:iCs/>
          <w:sz w:val="20"/>
          <w:szCs w:val="20"/>
        </w:rPr>
        <w:t xml:space="preserve">Unless otherwise noted, our work will concentrate on </w:t>
      </w:r>
      <w:r w:rsidR="00752A32">
        <w:rPr>
          <w:rFonts w:ascii="Times New Roman" w:hAnsi="Times New Roman" w:cs="Times New Roman"/>
          <w:i/>
          <w:iCs/>
          <w:sz w:val="20"/>
          <w:szCs w:val="20"/>
        </w:rPr>
        <w:t xml:space="preserve">consolidated </w:t>
      </w:r>
      <w:r w:rsidRPr="007D58B0">
        <w:rPr>
          <w:rFonts w:ascii="Times New Roman" w:hAnsi="Times New Roman" w:cs="Times New Roman"/>
          <w:i/>
          <w:iCs/>
          <w:sz w:val="20"/>
          <w:szCs w:val="20"/>
        </w:rPr>
        <w:t xml:space="preserve">financial information for the last </w:t>
      </w:r>
      <w:r w:rsidR="000C0BBE">
        <w:rPr>
          <w:rFonts w:ascii="Times New Roman" w:hAnsi="Times New Roman" w:cs="Times New Roman"/>
          <w:i/>
          <w:iCs/>
          <w:sz w:val="20"/>
          <w:szCs w:val="20"/>
        </w:rPr>
        <w:t>two</w:t>
      </w:r>
      <w:r w:rsidRPr="007D58B0">
        <w:rPr>
          <w:rFonts w:ascii="Times New Roman" w:hAnsi="Times New Roman" w:cs="Times New Roman"/>
          <w:i/>
          <w:iCs/>
          <w:sz w:val="20"/>
          <w:szCs w:val="20"/>
        </w:rPr>
        <w:t xml:space="preserve"> fiscal years December 31, 2023, and December 31, 2024, and the latest available trailing twelve months (TTM Feb/Mar-25).</w:t>
      </w:r>
    </w:p>
    <w:p w14:paraId="57F50B88" w14:textId="77777777" w:rsidR="004612F7" w:rsidRPr="004612F7" w:rsidRDefault="004612F7" w:rsidP="005A45DB">
      <w:pPr>
        <w:pStyle w:val="BodyText"/>
        <w:keepNext/>
        <w:spacing w:before="100" w:beforeAutospacing="1" w:after="100" w:afterAutospacing="1"/>
        <w:rPr>
          <w:rFonts w:ascii="Times New Roman" w:eastAsia="Batang" w:hAnsi="Times New Roman" w:cs="Times New Roman"/>
          <w:i/>
          <w:iCs/>
          <w:color w:val="000000"/>
          <w:sz w:val="20"/>
          <w:szCs w:val="20"/>
        </w:rPr>
      </w:pPr>
      <w:r w:rsidRPr="004612F7">
        <w:rPr>
          <w:rFonts w:ascii="Times New Roman" w:hAnsi="Times New Roman" w:cs="Times New Roman"/>
          <w:i/>
          <w:iCs/>
          <w:sz w:val="20"/>
          <w:szCs w:val="20"/>
        </w:rPr>
        <w:t xml:space="preserve">The following summarizes our estimated fees.  </w:t>
      </w:r>
      <w:r w:rsidRPr="004612F7">
        <w:rPr>
          <w:rFonts w:ascii="Times New Roman" w:eastAsia="Batang" w:hAnsi="Times New Roman" w:cs="Times New Roman"/>
          <w:i/>
          <w:iCs/>
          <w:color w:val="000000"/>
          <w:sz w:val="20"/>
          <w:szCs w:val="20"/>
        </w:rPr>
        <w:t>Our professional fees will be based on the actual time required to complete the agreed upon work at hourly rates identified for the professionals assigned to the engagement, however, would be capped as follows:</w:t>
      </w:r>
    </w:p>
    <w:p w14:paraId="3265C9E4" w14:textId="5DCAA3FD" w:rsidR="005A45DB" w:rsidRDefault="005A45DB" w:rsidP="005A45DB">
      <w:pPr>
        <w:pStyle w:val="BodyText"/>
        <w:keepNext/>
        <w:numPr>
          <w:ilvl w:val="0"/>
          <w:numId w:val="17"/>
        </w:numPr>
        <w:spacing w:before="100" w:beforeAutospacing="1" w:after="100" w:afterAutospacing="1"/>
        <w:rPr>
          <w:rFonts w:ascii="Times New Roman" w:hAnsi="Times New Roman" w:cs="Times New Roman"/>
          <w:i/>
          <w:iCs/>
          <w:sz w:val="20"/>
          <w:szCs w:val="20"/>
        </w:rPr>
      </w:pPr>
      <w:r w:rsidRPr="007D58B0">
        <w:rPr>
          <w:rFonts w:ascii="Times New Roman" w:hAnsi="Times New Roman" w:cs="Times New Roman"/>
          <w:i/>
          <w:iCs/>
          <w:sz w:val="20"/>
          <w:szCs w:val="20"/>
        </w:rPr>
        <w:t>Financial due diligence</w:t>
      </w:r>
      <w:r w:rsidR="00C12E76">
        <w:rPr>
          <w:rFonts w:ascii="Times New Roman" w:hAnsi="Times New Roman" w:cs="Times New Roman"/>
          <w:i/>
          <w:iCs/>
          <w:sz w:val="20"/>
          <w:szCs w:val="20"/>
        </w:rPr>
        <w:tab/>
      </w:r>
      <w:r w:rsidR="00C12E76">
        <w:rPr>
          <w:rFonts w:ascii="Times New Roman" w:hAnsi="Times New Roman" w:cs="Times New Roman"/>
          <w:i/>
          <w:iCs/>
          <w:sz w:val="20"/>
          <w:szCs w:val="20"/>
        </w:rPr>
        <w:tab/>
      </w:r>
      <w:r w:rsidRPr="007D58B0">
        <w:rPr>
          <w:rFonts w:ascii="Times New Roman" w:hAnsi="Times New Roman" w:cs="Times New Roman"/>
          <w:i/>
          <w:iCs/>
          <w:sz w:val="20"/>
          <w:szCs w:val="20"/>
        </w:rPr>
        <w:t xml:space="preserve"> </w:t>
      </w:r>
      <w:r w:rsidR="00B70D51">
        <w:rPr>
          <w:rFonts w:ascii="Times New Roman" w:hAnsi="Times New Roman" w:cs="Times New Roman"/>
          <w:i/>
          <w:iCs/>
          <w:sz w:val="20"/>
          <w:szCs w:val="20"/>
        </w:rPr>
        <w:t>CAD</w:t>
      </w:r>
      <w:r w:rsidR="00C12E76">
        <w:rPr>
          <w:rFonts w:ascii="Times New Roman" w:hAnsi="Times New Roman" w:cs="Times New Roman"/>
          <w:i/>
          <w:iCs/>
          <w:sz w:val="20"/>
          <w:szCs w:val="20"/>
        </w:rPr>
        <w:t>$</w:t>
      </w:r>
      <w:r w:rsidR="00B70D51">
        <w:rPr>
          <w:rFonts w:ascii="Times New Roman" w:hAnsi="Times New Roman" w:cs="Times New Roman"/>
          <w:i/>
          <w:iCs/>
          <w:sz w:val="20"/>
          <w:szCs w:val="20"/>
        </w:rPr>
        <w:t>225</w:t>
      </w:r>
      <w:r w:rsidR="00C12E76">
        <w:rPr>
          <w:rFonts w:ascii="Times New Roman" w:hAnsi="Times New Roman" w:cs="Times New Roman"/>
          <w:i/>
          <w:iCs/>
          <w:sz w:val="20"/>
          <w:szCs w:val="20"/>
        </w:rPr>
        <w:t>,000</w:t>
      </w:r>
    </w:p>
    <w:p w14:paraId="074EF612" w14:textId="4AA58890" w:rsidR="00C12E76" w:rsidRPr="007D58B0" w:rsidRDefault="00C12E76" w:rsidP="005A45DB">
      <w:pPr>
        <w:pStyle w:val="BodyText"/>
        <w:keepNext/>
        <w:numPr>
          <w:ilvl w:val="0"/>
          <w:numId w:val="17"/>
        </w:numPr>
        <w:spacing w:before="100" w:beforeAutospacing="1" w:after="100" w:afterAutospacing="1"/>
        <w:rPr>
          <w:rFonts w:ascii="Times New Roman" w:hAnsi="Times New Roman" w:cs="Times New Roman"/>
          <w:i/>
          <w:iCs/>
          <w:sz w:val="20"/>
          <w:szCs w:val="20"/>
        </w:rPr>
      </w:pPr>
      <w:r>
        <w:rPr>
          <w:rFonts w:ascii="Times New Roman" w:hAnsi="Times New Roman" w:cs="Times New Roman"/>
          <w:i/>
          <w:iCs/>
          <w:sz w:val="20"/>
          <w:szCs w:val="20"/>
        </w:rPr>
        <w:t xml:space="preserve">Financial due diligence reporting </w:t>
      </w:r>
      <w:r>
        <w:rPr>
          <w:rFonts w:ascii="Times New Roman" w:hAnsi="Times New Roman" w:cs="Times New Roman"/>
          <w:i/>
          <w:iCs/>
          <w:sz w:val="20"/>
          <w:szCs w:val="20"/>
        </w:rPr>
        <w:tab/>
      </w:r>
      <w:r w:rsidR="00B70D51">
        <w:rPr>
          <w:rFonts w:ascii="Times New Roman" w:hAnsi="Times New Roman" w:cs="Times New Roman"/>
          <w:i/>
          <w:iCs/>
          <w:sz w:val="20"/>
          <w:szCs w:val="20"/>
        </w:rPr>
        <w:t>CAD</w:t>
      </w:r>
      <w:r>
        <w:rPr>
          <w:rFonts w:ascii="Times New Roman" w:hAnsi="Times New Roman" w:cs="Times New Roman"/>
          <w:i/>
          <w:iCs/>
          <w:sz w:val="20"/>
          <w:szCs w:val="20"/>
        </w:rPr>
        <w:t>$</w:t>
      </w:r>
      <w:r w:rsidR="00B70D51">
        <w:rPr>
          <w:rFonts w:ascii="Times New Roman" w:hAnsi="Times New Roman" w:cs="Times New Roman"/>
          <w:i/>
          <w:iCs/>
          <w:sz w:val="20"/>
          <w:szCs w:val="20"/>
        </w:rPr>
        <w:t>25,000</w:t>
      </w:r>
    </w:p>
    <w:p w14:paraId="576B6D10" w14:textId="77777777" w:rsidR="005A45DB" w:rsidRPr="007D58B0" w:rsidRDefault="005A45DB" w:rsidP="007D58B0">
      <w:pPr>
        <w:pStyle w:val="Bulletfornos"/>
        <w:numPr>
          <w:ilvl w:val="0"/>
          <w:numId w:val="3"/>
        </w:numPr>
        <w:spacing w:line="240" w:lineRule="auto"/>
        <w:ind w:left="360" w:hanging="360"/>
        <w:textAlignment w:val="auto"/>
        <w:rPr>
          <w:sz w:val="20"/>
        </w:rPr>
      </w:pPr>
      <w:r w:rsidRPr="007D58B0">
        <w:rPr>
          <w:b/>
          <w:bCs/>
          <w:sz w:val="20"/>
        </w:rPr>
        <w:t>Accounting overview</w:t>
      </w:r>
      <w:r w:rsidRPr="007D58B0">
        <w:rPr>
          <w:sz w:val="20"/>
        </w:rPr>
        <w:br/>
        <w:t>Understand and summarize the financial statement preparation process, including:</w:t>
      </w:r>
    </w:p>
    <w:p w14:paraId="1FDCFCF8" w14:textId="514ECF16"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Finance function, financial reporting framework, and management reporting relationships (including processes, timing, structure of financial reporting, and interaction with the information/accounting systems);</w:t>
      </w:r>
    </w:p>
    <w:p w14:paraId="5D302CED"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Significant accounting policies and estimates and contemplated changes; and</w:t>
      </w:r>
    </w:p>
    <w:p w14:paraId="2B2AB400"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Reporting methodology (structure and process) and consolidation process, period ending process and related party transactions.</w:t>
      </w:r>
    </w:p>
    <w:p w14:paraId="678423E7" w14:textId="359ACD6A" w:rsidR="005A45DB" w:rsidRPr="007D58B0" w:rsidRDefault="005A45DB" w:rsidP="007D58B0">
      <w:pPr>
        <w:pStyle w:val="Bulletfornos"/>
        <w:numPr>
          <w:ilvl w:val="0"/>
          <w:numId w:val="3"/>
        </w:numPr>
        <w:spacing w:line="240" w:lineRule="auto"/>
        <w:ind w:left="360" w:hanging="360"/>
        <w:textAlignment w:val="auto"/>
        <w:rPr>
          <w:sz w:val="20"/>
        </w:rPr>
      </w:pPr>
      <w:r w:rsidRPr="007D58B0">
        <w:rPr>
          <w:b/>
          <w:bCs/>
          <w:sz w:val="20"/>
        </w:rPr>
        <w:t>Sustainability</w:t>
      </w:r>
      <w:r w:rsidR="00933C26">
        <w:rPr>
          <w:b/>
          <w:bCs/>
          <w:sz w:val="20"/>
        </w:rPr>
        <w:t xml:space="preserve"> of </w:t>
      </w:r>
      <w:r w:rsidRPr="007D58B0">
        <w:rPr>
          <w:b/>
          <w:bCs/>
          <w:sz w:val="20"/>
        </w:rPr>
        <w:t>net operating income</w:t>
      </w:r>
      <w:r w:rsidR="001F33EA">
        <w:rPr>
          <w:b/>
          <w:bCs/>
          <w:sz w:val="20"/>
        </w:rPr>
        <w:t xml:space="preserve"> on a consolidated basis</w:t>
      </w:r>
      <w:r w:rsidRPr="007D58B0">
        <w:rPr>
          <w:b/>
          <w:bCs/>
          <w:sz w:val="20"/>
        </w:rPr>
        <w:br/>
      </w:r>
      <w:r w:rsidRPr="007D58B0">
        <w:rPr>
          <w:sz w:val="20"/>
        </w:rPr>
        <w:t xml:space="preserve">Summarize potential adjustments to historical Net operating income (“NOI”) </w:t>
      </w:r>
      <w:r w:rsidR="00601BA7">
        <w:rPr>
          <w:sz w:val="20"/>
        </w:rPr>
        <w:t xml:space="preserve">on a consolidated basis </w:t>
      </w:r>
      <w:r w:rsidRPr="007D58B0">
        <w:rPr>
          <w:sz w:val="20"/>
        </w:rPr>
        <w:t>by considering:</w:t>
      </w:r>
    </w:p>
    <w:p w14:paraId="22D47EBA"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 xml:space="preserve">Management’s proposed adjustments to reported NOI and inquire about the nature and rationale of such adjustments and supporting documentation, if any; </w:t>
      </w:r>
    </w:p>
    <w:p w14:paraId="466FB64B"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The impact of any changes to senior management or team structure;</w:t>
      </w:r>
    </w:p>
    <w:p w14:paraId="4F4FC3D7" w14:textId="3FFF87D5" w:rsidR="00376614" w:rsidRPr="007D58B0" w:rsidRDefault="00376614" w:rsidP="005A45DB">
      <w:pPr>
        <w:pStyle w:val="Bulletfornos"/>
        <w:numPr>
          <w:ilvl w:val="1"/>
          <w:numId w:val="3"/>
        </w:numPr>
        <w:spacing w:before="100" w:beforeAutospacing="1" w:after="100" w:afterAutospacing="1" w:line="240" w:lineRule="auto"/>
        <w:textAlignment w:val="auto"/>
        <w:rPr>
          <w:sz w:val="20"/>
        </w:rPr>
      </w:pPr>
      <w:r w:rsidRPr="007D58B0">
        <w:rPr>
          <w:sz w:val="20"/>
        </w:rPr>
        <w:t xml:space="preserve">The </w:t>
      </w:r>
      <w:r w:rsidR="00503034">
        <w:rPr>
          <w:sz w:val="20"/>
        </w:rPr>
        <w:t>elimination</w:t>
      </w:r>
      <w:r w:rsidR="00503034" w:rsidRPr="007D58B0">
        <w:rPr>
          <w:sz w:val="20"/>
        </w:rPr>
        <w:t xml:space="preserve"> </w:t>
      </w:r>
      <w:r w:rsidRPr="007D58B0">
        <w:rPr>
          <w:sz w:val="20"/>
        </w:rPr>
        <w:t>of public company costs;</w:t>
      </w:r>
    </w:p>
    <w:p w14:paraId="6B9ACBF9" w14:textId="43BFA479" w:rsidR="005A45DB" w:rsidRDefault="00B70D51" w:rsidP="005A45DB">
      <w:pPr>
        <w:pStyle w:val="Bulletfornos"/>
        <w:numPr>
          <w:ilvl w:val="1"/>
          <w:numId w:val="3"/>
        </w:numPr>
        <w:spacing w:before="100" w:beforeAutospacing="1" w:after="100" w:afterAutospacing="1" w:line="240" w:lineRule="auto"/>
        <w:textAlignment w:val="auto"/>
        <w:rPr>
          <w:sz w:val="20"/>
        </w:rPr>
      </w:pPr>
      <w:r>
        <w:rPr>
          <w:sz w:val="20"/>
        </w:rPr>
        <w:t>Consider t</w:t>
      </w:r>
      <w:r w:rsidR="005A45DB" w:rsidRPr="007D58B0">
        <w:rPr>
          <w:sz w:val="20"/>
        </w:rPr>
        <w:t xml:space="preserve">he pro forma impact of </w:t>
      </w:r>
      <w:r w:rsidR="002A447C">
        <w:rPr>
          <w:sz w:val="20"/>
        </w:rPr>
        <w:t>new units, lost units, a</w:t>
      </w:r>
      <w:r w:rsidR="005A45DB" w:rsidRPr="007D58B0">
        <w:rPr>
          <w:sz w:val="20"/>
        </w:rPr>
        <w:t>cquired</w:t>
      </w:r>
      <w:r w:rsidR="000C502D" w:rsidRPr="007D58B0">
        <w:rPr>
          <w:sz w:val="20"/>
        </w:rPr>
        <w:t>,</w:t>
      </w:r>
      <w:r w:rsidR="005A45DB" w:rsidRPr="007D58B0">
        <w:rPr>
          <w:sz w:val="20"/>
        </w:rPr>
        <w:t xml:space="preserve"> developed</w:t>
      </w:r>
      <w:r w:rsidR="000C502D" w:rsidRPr="007D58B0">
        <w:rPr>
          <w:sz w:val="20"/>
        </w:rPr>
        <w:t>, sold properties</w:t>
      </w:r>
      <w:r w:rsidR="00AA0967">
        <w:rPr>
          <w:sz w:val="20"/>
        </w:rPr>
        <w:t xml:space="preserve"> and expiring leases</w:t>
      </w:r>
      <w:r w:rsidR="005A45DB" w:rsidRPr="007D58B0">
        <w:rPr>
          <w:sz w:val="20"/>
        </w:rPr>
        <w:t>;</w:t>
      </w:r>
    </w:p>
    <w:p w14:paraId="37BBC131" w14:textId="19906765" w:rsidR="00B70D51" w:rsidRPr="00601BA7" w:rsidRDefault="00B70D51" w:rsidP="00601BA7">
      <w:pPr>
        <w:pStyle w:val="Bulletfornos"/>
        <w:numPr>
          <w:ilvl w:val="2"/>
          <w:numId w:val="3"/>
        </w:numPr>
        <w:spacing w:before="100" w:beforeAutospacing="1" w:after="100" w:afterAutospacing="1" w:line="240" w:lineRule="auto"/>
        <w:ind w:left="1530" w:hanging="270"/>
        <w:textAlignment w:val="auto"/>
        <w:rPr>
          <w:i/>
          <w:iCs/>
          <w:sz w:val="20"/>
        </w:rPr>
      </w:pPr>
      <w:r w:rsidRPr="00601BA7">
        <w:rPr>
          <w:i/>
          <w:iCs/>
          <w:sz w:val="20"/>
        </w:rPr>
        <w:t xml:space="preserve">The pro forma impact consideration is contingent on readily available information from Target that summarizes its business trends such as revenue and margins by location, by community, by type, </w:t>
      </w:r>
      <w:r w:rsidR="008E5CEA" w:rsidRPr="00601BA7">
        <w:rPr>
          <w:i/>
          <w:iCs/>
          <w:sz w:val="20"/>
        </w:rPr>
        <w:t xml:space="preserve">occupancy rates, lease rates, </w:t>
      </w:r>
      <w:r w:rsidR="0054651D" w:rsidRPr="00601BA7">
        <w:rPr>
          <w:i/>
          <w:iCs/>
          <w:sz w:val="20"/>
        </w:rPr>
        <w:t>etc.</w:t>
      </w:r>
      <w:r w:rsidR="008E5CEA" w:rsidRPr="00601BA7">
        <w:rPr>
          <w:i/>
          <w:iCs/>
          <w:sz w:val="20"/>
        </w:rPr>
        <w:t xml:space="preserve"> for which </w:t>
      </w:r>
      <w:r w:rsidR="00217F6F" w:rsidRPr="00601BA7">
        <w:rPr>
          <w:i/>
          <w:iCs/>
          <w:sz w:val="20"/>
        </w:rPr>
        <w:t xml:space="preserve">the information has </w:t>
      </w:r>
      <w:r w:rsidR="008E5CEA" w:rsidRPr="00601BA7">
        <w:rPr>
          <w:i/>
          <w:iCs/>
          <w:sz w:val="20"/>
        </w:rPr>
        <w:t xml:space="preserve">been reconciled to the Target’s financial statements and can be used to formulate the potential pro forma consideration. To the extent the information is not </w:t>
      </w:r>
      <w:r w:rsidR="00217F6F" w:rsidRPr="00601BA7">
        <w:rPr>
          <w:i/>
          <w:iCs/>
          <w:sz w:val="20"/>
        </w:rPr>
        <w:t xml:space="preserve">readily </w:t>
      </w:r>
      <w:r w:rsidR="008E5CEA" w:rsidRPr="00601BA7">
        <w:rPr>
          <w:i/>
          <w:iCs/>
          <w:sz w:val="20"/>
        </w:rPr>
        <w:t>available</w:t>
      </w:r>
      <w:r w:rsidR="00217F6F" w:rsidRPr="00601BA7">
        <w:rPr>
          <w:i/>
          <w:iCs/>
          <w:sz w:val="20"/>
        </w:rPr>
        <w:t xml:space="preserve"> or not transferrable to calculate a potential impact</w:t>
      </w:r>
      <w:r w:rsidR="008E5CEA" w:rsidRPr="00601BA7">
        <w:rPr>
          <w:i/>
          <w:iCs/>
          <w:sz w:val="20"/>
        </w:rPr>
        <w:t xml:space="preserve">, we will discuss with Client the applicability of the impact and potential time effort to </w:t>
      </w:r>
      <w:r w:rsidR="00041823">
        <w:rPr>
          <w:i/>
          <w:iCs/>
          <w:sz w:val="20"/>
        </w:rPr>
        <w:t>analyze accordingly</w:t>
      </w:r>
      <w:r w:rsidR="008E5CEA" w:rsidRPr="00601BA7">
        <w:rPr>
          <w:i/>
          <w:iCs/>
          <w:sz w:val="20"/>
        </w:rPr>
        <w:t>.</w:t>
      </w:r>
    </w:p>
    <w:p w14:paraId="43D4339E"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The impact of provisions, management estimates, or adjusting entries on the reported results;</w:t>
      </w:r>
    </w:p>
    <w:p w14:paraId="284D8C4D"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Any other unusual or non-recurring events (revenue or expenses) or transactions that may have distorted results; and</w:t>
      </w:r>
    </w:p>
    <w:p w14:paraId="50836477" w14:textId="77777777" w:rsidR="005A45DB" w:rsidRPr="007D58B0" w:rsidRDefault="005A45DB" w:rsidP="005A45DB">
      <w:pPr>
        <w:pStyle w:val="Bulletfornos"/>
        <w:numPr>
          <w:ilvl w:val="1"/>
          <w:numId w:val="3"/>
        </w:numPr>
        <w:spacing w:before="100" w:beforeAutospacing="1" w:after="100" w:afterAutospacing="1" w:line="240" w:lineRule="auto"/>
        <w:textAlignment w:val="auto"/>
        <w:rPr>
          <w:sz w:val="20"/>
        </w:rPr>
      </w:pPr>
      <w:r w:rsidRPr="007D58B0">
        <w:rPr>
          <w:sz w:val="20"/>
        </w:rPr>
        <w:t>Other potential items discovered in the due diligence process.</w:t>
      </w:r>
    </w:p>
    <w:p w14:paraId="36A0891F" w14:textId="77777777" w:rsidR="005A45DB" w:rsidRPr="00B13A87" w:rsidRDefault="005A45DB" w:rsidP="00B13A87">
      <w:pPr>
        <w:pStyle w:val="Bulletfornos"/>
        <w:numPr>
          <w:ilvl w:val="0"/>
          <w:numId w:val="3"/>
        </w:numPr>
        <w:spacing w:line="240" w:lineRule="auto"/>
        <w:ind w:left="360" w:hanging="360"/>
        <w:textAlignment w:val="auto"/>
        <w:rPr>
          <w:b/>
          <w:bCs/>
          <w:sz w:val="20"/>
        </w:rPr>
      </w:pPr>
      <w:r w:rsidRPr="00B13A87">
        <w:rPr>
          <w:b/>
          <w:bCs/>
          <w:sz w:val="20"/>
        </w:rPr>
        <w:t>Obtain and read an analysis of the Company’s operating expenses and inquire about</w:t>
      </w:r>
    </w:p>
    <w:p w14:paraId="56248C75" w14:textId="3E19A03D" w:rsidR="005A45DB" w:rsidRDefault="005A45DB" w:rsidP="005A45DB">
      <w:pPr>
        <w:pStyle w:val="Bulletfornos"/>
        <w:numPr>
          <w:ilvl w:val="1"/>
          <w:numId w:val="3"/>
        </w:numPr>
        <w:spacing w:before="100" w:beforeAutospacing="1" w:after="100" w:afterAutospacing="1" w:line="240" w:lineRule="auto"/>
        <w:textAlignment w:val="auto"/>
        <w:rPr>
          <w:sz w:val="20"/>
        </w:rPr>
      </w:pPr>
      <w:r w:rsidRPr="00B13A87">
        <w:rPr>
          <w:sz w:val="20"/>
        </w:rPr>
        <w:t>Primary components of property operating costs</w:t>
      </w:r>
      <w:r w:rsidR="007116E0">
        <w:rPr>
          <w:sz w:val="20"/>
        </w:rPr>
        <w:t>, property tax expenses</w:t>
      </w:r>
      <w:r w:rsidRPr="00B13A87">
        <w:rPr>
          <w:sz w:val="20"/>
        </w:rPr>
        <w:t>;</w:t>
      </w:r>
    </w:p>
    <w:p w14:paraId="40F46F15" w14:textId="04A746EF" w:rsidR="007116E0" w:rsidRPr="00B13A87" w:rsidRDefault="007116E0" w:rsidP="005A45DB">
      <w:pPr>
        <w:pStyle w:val="Bulletfornos"/>
        <w:numPr>
          <w:ilvl w:val="1"/>
          <w:numId w:val="3"/>
        </w:numPr>
        <w:spacing w:before="100" w:beforeAutospacing="1" w:after="100" w:afterAutospacing="1" w:line="240" w:lineRule="auto"/>
        <w:textAlignment w:val="auto"/>
        <w:rPr>
          <w:sz w:val="20"/>
        </w:rPr>
      </w:pPr>
      <w:r>
        <w:rPr>
          <w:sz w:val="20"/>
        </w:rPr>
        <w:t>Rent bad debt expense trends;</w:t>
      </w:r>
    </w:p>
    <w:p w14:paraId="7C44D6F7" w14:textId="77777777" w:rsidR="007116E0" w:rsidRPr="00B13A87" w:rsidRDefault="007116E0" w:rsidP="007116E0">
      <w:pPr>
        <w:pStyle w:val="Bulletfornos"/>
        <w:numPr>
          <w:ilvl w:val="1"/>
          <w:numId w:val="3"/>
        </w:numPr>
        <w:spacing w:before="100" w:beforeAutospacing="1" w:after="100" w:afterAutospacing="1" w:line="240" w:lineRule="auto"/>
        <w:textAlignment w:val="auto"/>
        <w:rPr>
          <w:sz w:val="20"/>
        </w:rPr>
      </w:pPr>
      <w:r w:rsidRPr="00B13A87">
        <w:rPr>
          <w:sz w:val="20"/>
        </w:rPr>
        <w:t>Wages, payroll taxes and benefits, by operating segment and function, if possible;</w:t>
      </w:r>
    </w:p>
    <w:p w14:paraId="77F7B245" w14:textId="27D85CCF" w:rsidR="007116E0" w:rsidRPr="00B13A87" w:rsidRDefault="007116E0" w:rsidP="007116E0">
      <w:pPr>
        <w:pStyle w:val="Bulletfornos"/>
        <w:numPr>
          <w:ilvl w:val="1"/>
          <w:numId w:val="3"/>
        </w:numPr>
        <w:spacing w:before="100" w:beforeAutospacing="1" w:after="100" w:afterAutospacing="1" w:line="240" w:lineRule="auto"/>
        <w:textAlignment w:val="auto"/>
        <w:rPr>
          <w:sz w:val="20"/>
        </w:rPr>
      </w:pPr>
      <w:r w:rsidRPr="00B13A87">
        <w:rPr>
          <w:sz w:val="20"/>
        </w:rPr>
        <w:t>Incentive based compensation;</w:t>
      </w:r>
    </w:p>
    <w:p w14:paraId="63C9BBA5" w14:textId="727D6C88" w:rsidR="005A45DB" w:rsidRPr="00B13A87" w:rsidRDefault="005A45DB" w:rsidP="005A45DB">
      <w:pPr>
        <w:pStyle w:val="Bulletfornos"/>
        <w:numPr>
          <w:ilvl w:val="1"/>
          <w:numId w:val="3"/>
        </w:numPr>
        <w:spacing w:before="100" w:beforeAutospacing="1" w:after="100" w:afterAutospacing="1" w:line="240" w:lineRule="auto"/>
        <w:textAlignment w:val="auto"/>
        <w:rPr>
          <w:sz w:val="20"/>
        </w:rPr>
      </w:pPr>
      <w:r w:rsidRPr="00B13A87">
        <w:rPr>
          <w:sz w:val="20"/>
        </w:rPr>
        <w:t>General and administrative expenses;</w:t>
      </w:r>
    </w:p>
    <w:p w14:paraId="3471E60B" w14:textId="212DE70E" w:rsidR="005A45DB" w:rsidRPr="00B13A87" w:rsidRDefault="005A45DB" w:rsidP="005A45DB">
      <w:pPr>
        <w:pStyle w:val="Bulletfornos"/>
        <w:numPr>
          <w:ilvl w:val="1"/>
          <w:numId w:val="3"/>
        </w:numPr>
        <w:spacing w:before="100" w:beforeAutospacing="1" w:after="100" w:afterAutospacing="1" w:line="240" w:lineRule="auto"/>
        <w:textAlignment w:val="auto"/>
        <w:rPr>
          <w:sz w:val="20"/>
        </w:rPr>
      </w:pPr>
      <w:r w:rsidRPr="00B13A87">
        <w:rPr>
          <w:sz w:val="20"/>
        </w:rPr>
        <w:t>Sales and marketing and other expenses.</w:t>
      </w:r>
    </w:p>
    <w:p w14:paraId="0B0978FB" w14:textId="1B2EE989" w:rsidR="005A45DB" w:rsidRPr="00B13A87" w:rsidRDefault="007116E0" w:rsidP="00B13A87">
      <w:pPr>
        <w:pStyle w:val="Bulletfornos"/>
        <w:numPr>
          <w:ilvl w:val="0"/>
          <w:numId w:val="3"/>
        </w:numPr>
        <w:spacing w:line="240" w:lineRule="auto"/>
        <w:ind w:left="360" w:hanging="360"/>
        <w:textAlignment w:val="auto"/>
        <w:rPr>
          <w:sz w:val="20"/>
        </w:rPr>
      </w:pPr>
      <w:r>
        <w:rPr>
          <w:b/>
          <w:bCs/>
          <w:sz w:val="20"/>
        </w:rPr>
        <w:t>Balance sheet</w:t>
      </w:r>
      <w:r w:rsidR="005A45DB" w:rsidRPr="00B13A87">
        <w:rPr>
          <w:b/>
          <w:bCs/>
          <w:sz w:val="20"/>
        </w:rPr>
        <w:br/>
      </w:r>
      <w:r w:rsidR="005A45DB" w:rsidRPr="00B13A87">
        <w:rPr>
          <w:sz w:val="20"/>
        </w:rPr>
        <w:t xml:space="preserve">Summarize and </w:t>
      </w:r>
      <w:r>
        <w:rPr>
          <w:sz w:val="20"/>
        </w:rPr>
        <w:t>understand Target’s balance sheet profile</w:t>
      </w:r>
      <w:r w:rsidR="005A45DB" w:rsidRPr="00B13A87">
        <w:rPr>
          <w:sz w:val="20"/>
        </w:rPr>
        <w:t xml:space="preserve">: </w:t>
      </w:r>
    </w:p>
    <w:p w14:paraId="11396F58" w14:textId="76C5EB02" w:rsidR="007116E0" w:rsidRDefault="005A45DB" w:rsidP="007116E0">
      <w:pPr>
        <w:pStyle w:val="Bulletfornos"/>
        <w:numPr>
          <w:ilvl w:val="1"/>
          <w:numId w:val="3"/>
        </w:numPr>
        <w:spacing w:before="100" w:beforeAutospacing="1" w:after="100" w:afterAutospacing="1" w:line="240" w:lineRule="auto"/>
        <w:textAlignment w:val="auto"/>
        <w:rPr>
          <w:sz w:val="20"/>
        </w:rPr>
      </w:pPr>
      <w:r w:rsidRPr="007116E0">
        <w:rPr>
          <w:sz w:val="20"/>
        </w:rPr>
        <w:t>Comment on the working capital trends, for the respective perio</w:t>
      </w:r>
      <w:r w:rsidR="007116E0" w:rsidRPr="007116E0">
        <w:rPr>
          <w:sz w:val="20"/>
        </w:rPr>
        <w:t>ds including</w:t>
      </w:r>
      <w:r w:rsidR="007116E0">
        <w:rPr>
          <w:sz w:val="20"/>
        </w:rPr>
        <w:t xml:space="preserve"> unusual trends, unusual balances. </w:t>
      </w:r>
    </w:p>
    <w:p w14:paraId="7AFB2C02" w14:textId="77777777" w:rsidR="007116E0" w:rsidRPr="007116E0" w:rsidRDefault="007116E0" w:rsidP="007116E0">
      <w:pPr>
        <w:pStyle w:val="Bulletfornos"/>
        <w:numPr>
          <w:ilvl w:val="2"/>
          <w:numId w:val="3"/>
        </w:numPr>
        <w:spacing w:before="100" w:beforeAutospacing="1" w:after="100" w:afterAutospacing="1"/>
        <w:rPr>
          <w:sz w:val="20"/>
        </w:rPr>
      </w:pPr>
      <w:r w:rsidRPr="007116E0">
        <w:rPr>
          <w:sz w:val="20"/>
        </w:rPr>
        <w:t>Accounts receivable: Obtain and read an analysis of the Company's accounts receivable and inquire about Rent receivable profile including aging analysis and provisions; other non-trade receivable balances.</w:t>
      </w:r>
    </w:p>
    <w:p w14:paraId="10D438BF" w14:textId="77777777" w:rsidR="007116E0" w:rsidRPr="007116E0" w:rsidRDefault="007116E0" w:rsidP="007116E0">
      <w:pPr>
        <w:pStyle w:val="Bulletfornos"/>
        <w:numPr>
          <w:ilvl w:val="2"/>
          <w:numId w:val="3"/>
        </w:numPr>
        <w:spacing w:before="100" w:beforeAutospacing="1" w:after="100" w:afterAutospacing="1"/>
        <w:rPr>
          <w:sz w:val="20"/>
        </w:rPr>
      </w:pPr>
      <w:r w:rsidRPr="007116E0">
        <w:rPr>
          <w:sz w:val="20"/>
        </w:rPr>
        <w:t>Other assets (i.e., prepaid expenses and deposits):</w:t>
      </w:r>
    </w:p>
    <w:p w14:paraId="4A850D3A" w14:textId="77777777" w:rsidR="007116E0" w:rsidRPr="007116E0" w:rsidRDefault="007116E0" w:rsidP="007116E0">
      <w:pPr>
        <w:pStyle w:val="Bulletfornos"/>
        <w:numPr>
          <w:ilvl w:val="2"/>
          <w:numId w:val="3"/>
        </w:numPr>
        <w:spacing w:before="100" w:beforeAutospacing="1" w:after="100" w:afterAutospacing="1"/>
        <w:rPr>
          <w:sz w:val="20"/>
        </w:rPr>
      </w:pPr>
      <w:r w:rsidRPr="007116E0">
        <w:rPr>
          <w:sz w:val="20"/>
        </w:rPr>
        <w:t>Accounts payable and accrued liabilities:</w:t>
      </w:r>
    </w:p>
    <w:p w14:paraId="6D595657" w14:textId="77777777" w:rsidR="007116E0" w:rsidRPr="007116E0" w:rsidRDefault="007116E0" w:rsidP="007116E0">
      <w:pPr>
        <w:pStyle w:val="Bulletfornos"/>
        <w:numPr>
          <w:ilvl w:val="3"/>
          <w:numId w:val="3"/>
        </w:numPr>
        <w:spacing w:before="100" w:beforeAutospacing="1" w:after="100" w:afterAutospacing="1"/>
        <w:rPr>
          <w:sz w:val="20"/>
        </w:rPr>
      </w:pPr>
      <w:r w:rsidRPr="007116E0">
        <w:rPr>
          <w:sz w:val="20"/>
        </w:rPr>
        <w:t>Obtain and read an analysis of the Company's accounts payable and accrued expenses and inquire about:</w:t>
      </w:r>
    </w:p>
    <w:p w14:paraId="17523381" w14:textId="77777777" w:rsidR="007116E0" w:rsidRPr="007116E0" w:rsidRDefault="007116E0" w:rsidP="007116E0">
      <w:pPr>
        <w:pStyle w:val="Bulletfornos"/>
        <w:numPr>
          <w:ilvl w:val="3"/>
          <w:numId w:val="3"/>
        </w:numPr>
        <w:spacing w:before="100" w:beforeAutospacing="1" w:after="100" w:afterAutospacing="1"/>
        <w:rPr>
          <w:sz w:val="20"/>
        </w:rPr>
      </w:pPr>
      <w:r w:rsidRPr="007116E0">
        <w:rPr>
          <w:sz w:val="20"/>
        </w:rPr>
        <w:t>AP aging analysis, terms of trade with major vendors, days payables outstanding and trade payables aging analysis;</w:t>
      </w:r>
    </w:p>
    <w:p w14:paraId="478EA4EB" w14:textId="77777777" w:rsidR="007116E0" w:rsidRPr="007116E0" w:rsidRDefault="007116E0" w:rsidP="007116E0">
      <w:pPr>
        <w:pStyle w:val="Bulletfornos"/>
        <w:numPr>
          <w:ilvl w:val="3"/>
          <w:numId w:val="3"/>
        </w:numPr>
        <w:spacing w:before="100" w:beforeAutospacing="1" w:after="100" w:afterAutospacing="1"/>
        <w:rPr>
          <w:sz w:val="20"/>
        </w:rPr>
      </w:pPr>
      <w:r w:rsidRPr="007116E0">
        <w:rPr>
          <w:sz w:val="20"/>
        </w:rPr>
        <w:t>Accrued expenses; and</w:t>
      </w:r>
    </w:p>
    <w:p w14:paraId="4E64CFC0" w14:textId="4659A908" w:rsidR="007116E0" w:rsidRDefault="007116E0" w:rsidP="007116E0">
      <w:pPr>
        <w:pStyle w:val="Bulletfornos"/>
        <w:numPr>
          <w:ilvl w:val="3"/>
          <w:numId w:val="3"/>
        </w:numPr>
        <w:spacing w:before="100" w:beforeAutospacing="1" w:after="100" w:afterAutospacing="1" w:line="240" w:lineRule="auto"/>
        <w:textAlignment w:val="auto"/>
        <w:rPr>
          <w:sz w:val="20"/>
        </w:rPr>
      </w:pPr>
      <w:r w:rsidRPr="007116E0">
        <w:rPr>
          <w:sz w:val="20"/>
        </w:rPr>
        <w:t>Tenant rental deposits</w:t>
      </w:r>
    </w:p>
    <w:p w14:paraId="568225A6" w14:textId="65DEDEE6" w:rsidR="0029054C" w:rsidRDefault="0029054C" w:rsidP="0029054C">
      <w:pPr>
        <w:pStyle w:val="Bulletfornos"/>
        <w:numPr>
          <w:ilvl w:val="2"/>
          <w:numId w:val="3"/>
        </w:numPr>
        <w:spacing w:before="100" w:beforeAutospacing="1" w:after="100" w:afterAutospacing="1" w:line="240" w:lineRule="auto"/>
        <w:textAlignment w:val="auto"/>
        <w:rPr>
          <w:sz w:val="20"/>
        </w:rPr>
      </w:pPr>
      <w:r>
        <w:rPr>
          <w:sz w:val="20"/>
        </w:rPr>
        <w:t>If applicable, consider normalization adjustments to working capital.</w:t>
      </w:r>
    </w:p>
    <w:p w14:paraId="19D47F22" w14:textId="3F263D68" w:rsidR="007116E0" w:rsidRPr="007116E0" w:rsidRDefault="007116E0" w:rsidP="007116E0">
      <w:pPr>
        <w:pStyle w:val="Bulletfornos"/>
        <w:numPr>
          <w:ilvl w:val="1"/>
          <w:numId w:val="3"/>
        </w:numPr>
        <w:spacing w:before="0" w:line="240" w:lineRule="auto"/>
        <w:textAlignment w:val="auto"/>
        <w:rPr>
          <w:sz w:val="20"/>
        </w:rPr>
      </w:pPr>
      <w:r>
        <w:rPr>
          <w:sz w:val="20"/>
        </w:rPr>
        <w:t>Understand the nature of investment properties and joint ventures;</w:t>
      </w:r>
    </w:p>
    <w:p w14:paraId="64B79753" w14:textId="2058FA78" w:rsidR="005A45DB" w:rsidRDefault="007116E0" w:rsidP="00B13A87">
      <w:pPr>
        <w:pStyle w:val="Bulletfornos"/>
        <w:numPr>
          <w:ilvl w:val="1"/>
          <w:numId w:val="3"/>
        </w:numPr>
        <w:spacing w:before="0" w:line="240" w:lineRule="auto"/>
        <w:textAlignment w:val="auto"/>
        <w:rPr>
          <w:sz w:val="20"/>
        </w:rPr>
      </w:pPr>
      <w:r>
        <w:rPr>
          <w:sz w:val="20"/>
        </w:rPr>
        <w:t>Analyze historical capital expenditure trends</w:t>
      </w:r>
    </w:p>
    <w:p w14:paraId="3672A34A" w14:textId="1D3F9137" w:rsidR="007116E0" w:rsidRDefault="007116E0" w:rsidP="00B13A87">
      <w:pPr>
        <w:pStyle w:val="Bulletfornos"/>
        <w:numPr>
          <w:ilvl w:val="1"/>
          <w:numId w:val="3"/>
        </w:numPr>
        <w:spacing w:before="0" w:line="240" w:lineRule="auto"/>
        <w:textAlignment w:val="auto"/>
        <w:rPr>
          <w:sz w:val="20"/>
        </w:rPr>
      </w:pPr>
      <w:r>
        <w:rPr>
          <w:sz w:val="20"/>
        </w:rPr>
        <w:t>Understand the components of indebtedness including:</w:t>
      </w:r>
    </w:p>
    <w:p w14:paraId="6A3B7581" w14:textId="77777777" w:rsidR="007116E0" w:rsidRDefault="00DE55F6" w:rsidP="007116E0">
      <w:pPr>
        <w:pStyle w:val="Bulletfornos"/>
        <w:numPr>
          <w:ilvl w:val="2"/>
          <w:numId w:val="3"/>
        </w:numPr>
        <w:spacing w:before="0" w:line="240" w:lineRule="auto"/>
        <w:textAlignment w:val="auto"/>
        <w:rPr>
          <w:sz w:val="20"/>
        </w:rPr>
      </w:pPr>
      <w:r w:rsidRPr="007116E0">
        <w:rPr>
          <w:sz w:val="20"/>
        </w:rPr>
        <w:t>N</w:t>
      </w:r>
      <w:r w:rsidR="00D95C91" w:rsidRPr="007116E0">
        <w:rPr>
          <w:sz w:val="20"/>
        </w:rPr>
        <w:t>et debt items presented by management and other potential debt-like items;</w:t>
      </w:r>
    </w:p>
    <w:p w14:paraId="103879E8" w14:textId="77777777" w:rsidR="007116E0" w:rsidRDefault="00D95C91" w:rsidP="007116E0">
      <w:pPr>
        <w:pStyle w:val="Bulletfornos"/>
        <w:numPr>
          <w:ilvl w:val="2"/>
          <w:numId w:val="3"/>
        </w:numPr>
        <w:spacing w:before="0" w:line="240" w:lineRule="auto"/>
        <w:textAlignment w:val="auto"/>
        <w:rPr>
          <w:sz w:val="20"/>
        </w:rPr>
      </w:pPr>
      <w:r w:rsidRPr="007116E0">
        <w:rPr>
          <w:sz w:val="20"/>
        </w:rPr>
        <w:t>Analysis of remaining liabilities surrounding contingent considerations;</w:t>
      </w:r>
      <w:r w:rsidR="00DE55F6" w:rsidRPr="007116E0">
        <w:rPr>
          <w:sz w:val="20"/>
        </w:rPr>
        <w:t xml:space="preserve"> and</w:t>
      </w:r>
    </w:p>
    <w:p w14:paraId="023AA3DB" w14:textId="00DBEDA5" w:rsidR="00D95C91" w:rsidRPr="007116E0" w:rsidRDefault="00D95C91" w:rsidP="007116E0">
      <w:pPr>
        <w:pStyle w:val="Bulletfornos"/>
        <w:numPr>
          <w:ilvl w:val="2"/>
          <w:numId w:val="3"/>
        </w:numPr>
        <w:spacing w:before="0" w:line="240" w:lineRule="auto"/>
        <w:textAlignment w:val="auto"/>
        <w:rPr>
          <w:sz w:val="20"/>
        </w:rPr>
      </w:pPr>
      <w:r w:rsidRPr="007116E0">
        <w:rPr>
          <w:sz w:val="20"/>
        </w:rPr>
        <w:t>Significant lease and purchase obligations.</w:t>
      </w:r>
    </w:p>
    <w:p w14:paraId="70E7DC97" w14:textId="2A7C3C15" w:rsidR="006D49C8" w:rsidRPr="00B13A87" w:rsidRDefault="006D49C8" w:rsidP="00B13A87">
      <w:pPr>
        <w:pStyle w:val="Bulletfornos"/>
        <w:numPr>
          <w:ilvl w:val="0"/>
          <w:numId w:val="3"/>
        </w:numPr>
        <w:tabs>
          <w:tab w:val="clear" w:pos="720"/>
          <w:tab w:val="num" w:pos="360"/>
        </w:tabs>
        <w:spacing w:line="240" w:lineRule="auto"/>
        <w:ind w:left="360" w:hanging="360"/>
        <w:textAlignment w:val="auto"/>
        <w:rPr>
          <w:b/>
          <w:bCs/>
          <w:sz w:val="20"/>
        </w:rPr>
      </w:pPr>
      <w:r w:rsidRPr="00B13A87">
        <w:rPr>
          <w:b/>
          <w:bCs/>
          <w:sz w:val="20"/>
        </w:rPr>
        <w:t>Operating cash flow</w:t>
      </w:r>
      <w:r w:rsidR="00C10F46">
        <w:rPr>
          <w:b/>
          <w:bCs/>
          <w:sz w:val="20"/>
        </w:rPr>
        <w:t xml:space="preserve"> </w:t>
      </w:r>
      <w:r w:rsidRPr="00B13A87">
        <w:rPr>
          <w:b/>
          <w:bCs/>
          <w:sz w:val="20"/>
        </w:rPr>
        <w:t>/</w:t>
      </w:r>
      <w:r w:rsidR="00C10F46">
        <w:rPr>
          <w:b/>
          <w:bCs/>
          <w:sz w:val="20"/>
        </w:rPr>
        <w:t xml:space="preserve"> </w:t>
      </w:r>
      <w:r w:rsidRPr="00B13A87">
        <w:rPr>
          <w:b/>
          <w:bCs/>
          <w:sz w:val="20"/>
        </w:rPr>
        <w:t>F</w:t>
      </w:r>
      <w:r w:rsidR="00AE4FE5" w:rsidRPr="00B13A87">
        <w:rPr>
          <w:b/>
          <w:bCs/>
          <w:sz w:val="20"/>
        </w:rPr>
        <w:t>unds from operations</w:t>
      </w:r>
    </w:p>
    <w:p w14:paraId="701C3D75" w14:textId="01F94707" w:rsidR="006D49C8" w:rsidRPr="00B13A87" w:rsidRDefault="006D49C8" w:rsidP="006D49C8">
      <w:pPr>
        <w:pStyle w:val="Bulletfornos"/>
        <w:numPr>
          <w:ilvl w:val="1"/>
          <w:numId w:val="3"/>
        </w:numPr>
        <w:spacing w:before="100" w:beforeAutospacing="1" w:after="100" w:afterAutospacing="1" w:line="240" w:lineRule="auto"/>
        <w:textAlignment w:val="auto"/>
        <w:rPr>
          <w:sz w:val="20"/>
        </w:rPr>
      </w:pPr>
      <w:r w:rsidRPr="00B13A87">
        <w:rPr>
          <w:sz w:val="20"/>
        </w:rPr>
        <w:t xml:space="preserve">Analyze </w:t>
      </w:r>
      <w:r w:rsidR="00DE55F6">
        <w:rPr>
          <w:sz w:val="20"/>
        </w:rPr>
        <w:t>the Company</w:t>
      </w:r>
      <w:r w:rsidRPr="00B13A87">
        <w:rPr>
          <w:sz w:val="20"/>
        </w:rPr>
        <w:t>’s historical operating cash flow</w:t>
      </w:r>
      <w:r w:rsidR="00933C26">
        <w:rPr>
          <w:sz w:val="20"/>
        </w:rPr>
        <w:t xml:space="preserve"> </w:t>
      </w:r>
      <w:r w:rsidRPr="00B13A87">
        <w:rPr>
          <w:sz w:val="20"/>
        </w:rPr>
        <w:t>/</w:t>
      </w:r>
      <w:r w:rsidR="00933C26">
        <w:rPr>
          <w:sz w:val="20"/>
        </w:rPr>
        <w:t xml:space="preserve"> </w:t>
      </w:r>
      <w:r w:rsidRPr="00B13A87">
        <w:rPr>
          <w:sz w:val="20"/>
        </w:rPr>
        <w:t xml:space="preserve">FFO trends incorporating the impact of adjusted </w:t>
      </w:r>
      <w:r w:rsidR="00933C26">
        <w:rPr>
          <w:sz w:val="20"/>
        </w:rPr>
        <w:t>NOI</w:t>
      </w:r>
      <w:r w:rsidR="00933C26" w:rsidRPr="00B13A87">
        <w:rPr>
          <w:sz w:val="20"/>
        </w:rPr>
        <w:t xml:space="preserve"> </w:t>
      </w:r>
      <w:r w:rsidRPr="00B13A87">
        <w:rPr>
          <w:sz w:val="20"/>
        </w:rPr>
        <w:t xml:space="preserve">trends from the quality of earnings analysis, </w:t>
      </w:r>
      <w:r w:rsidR="00933C26">
        <w:rPr>
          <w:sz w:val="20"/>
        </w:rPr>
        <w:t>the Company</w:t>
      </w:r>
      <w:r w:rsidRPr="00B13A87">
        <w:rPr>
          <w:sz w:val="20"/>
        </w:rPr>
        <w:t>’s net working capital profile, and capital expenditures trends.</w:t>
      </w:r>
    </w:p>
    <w:p w14:paraId="6F7637D2" w14:textId="771427DF" w:rsidR="00D95C91" w:rsidRPr="00B13A87" w:rsidRDefault="00D95C91" w:rsidP="00B13A87">
      <w:pPr>
        <w:pStyle w:val="Bulletfornos"/>
        <w:numPr>
          <w:ilvl w:val="0"/>
          <w:numId w:val="3"/>
        </w:numPr>
        <w:tabs>
          <w:tab w:val="clear" w:pos="720"/>
          <w:tab w:val="num" w:pos="360"/>
        </w:tabs>
        <w:spacing w:line="240" w:lineRule="auto"/>
        <w:ind w:left="360" w:hanging="360"/>
        <w:textAlignment w:val="auto"/>
        <w:rPr>
          <w:sz w:val="20"/>
        </w:rPr>
      </w:pPr>
      <w:r w:rsidRPr="00B13A87">
        <w:rPr>
          <w:b/>
          <w:bCs/>
          <w:sz w:val="20"/>
        </w:rPr>
        <w:t>Audit work paper</w:t>
      </w:r>
      <w:r w:rsidRPr="00B13A87">
        <w:rPr>
          <w:b/>
          <w:bCs/>
          <w:sz w:val="20"/>
        </w:rPr>
        <w:br/>
      </w:r>
      <w:r w:rsidRPr="00B13A87">
        <w:rPr>
          <w:sz w:val="20"/>
        </w:rPr>
        <w:t xml:space="preserve">Obtain and read the </w:t>
      </w:r>
      <w:r w:rsidR="00933C26">
        <w:rPr>
          <w:sz w:val="20"/>
        </w:rPr>
        <w:t>Company</w:t>
      </w:r>
      <w:r w:rsidR="00933C26" w:rsidRPr="00B13A87">
        <w:rPr>
          <w:sz w:val="20"/>
        </w:rPr>
        <w:t xml:space="preserve">’s </w:t>
      </w:r>
      <w:r w:rsidRPr="00B13A87">
        <w:rPr>
          <w:sz w:val="20"/>
        </w:rPr>
        <w:t>audit working paper files and management letters for the latest fiscal year</w:t>
      </w:r>
      <w:r w:rsidR="00EF3A91">
        <w:rPr>
          <w:sz w:val="20"/>
        </w:rPr>
        <w:t>:</w:t>
      </w:r>
    </w:p>
    <w:p w14:paraId="69B428B1" w14:textId="054E591F" w:rsidR="00D95C91" w:rsidRPr="00B13A87" w:rsidRDefault="00D95C91" w:rsidP="00D95C91">
      <w:pPr>
        <w:pStyle w:val="Bulletfornos"/>
        <w:numPr>
          <w:ilvl w:val="1"/>
          <w:numId w:val="3"/>
        </w:numPr>
        <w:spacing w:before="100" w:beforeAutospacing="1" w:after="100" w:afterAutospacing="1" w:line="240" w:lineRule="auto"/>
        <w:textAlignment w:val="auto"/>
        <w:rPr>
          <w:sz w:val="20"/>
        </w:rPr>
      </w:pPr>
      <w:r w:rsidRPr="00B13A87">
        <w:rPr>
          <w:sz w:val="20"/>
        </w:rPr>
        <w:t>Summarize audit matters, if any;</w:t>
      </w:r>
    </w:p>
    <w:p w14:paraId="6D54769B" w14:textId="56749E14" w:rsidR="00D95C91" w:rsidRPr="00B13A87" w:rsidRDefault="00D95C91" w:rsidP="00D95C91">
      <w:pPr>
        <w:pStyle w:val="Bulletfornos"/>
        <w:numPr>
          <w:ilvl w:val="1"/>
          <w:numId w:val="3"/>
        </w:numPr>
        <w:spacing w:before="100" w:beforeAutospacing="1" w:after="100" w:afterAutospacing="1" w:line="240" w:lineRule="auto"/>
        <w:textAlignment w:val="auto"/>
        <w:rPr>
          <w:sz w:val="20"/>
        </w:rPr>
      </w:pPr>
      <w:r w:rsidRPr="00B13A87">
        <w:rPr>
          <w:sz w:val="20"/>
        </w:rPr>
        <w:t>Comment on the nature and volume of audit differences (adjustments), use of accounting estimates, any changes in accounting policies or methods and their implications;</w:t>
      </w:r>
      <w:r w:rsidR="00933C26">
        <w:rPr>
          <w:sz w:val="20"/>
        </w:rPr>
        <w:t xml:space="preserve"> and</w:t>
      </w:r>
    </w:p>
    <w:p w14:paraId="7E5CD8A7" w14:textId="13F68D2F" w:rsidR="00D95C91" w:rsidRPr="00B13A87" w:rsidRDefault="00D95C91" w:rsidP="00D95C91">
      <w:pPr>
        <w:pStyle w:val="Bulletfornos"/>
        <w:numPr>
          <w:ilvl w:val="1"/>
          <w:numId w:val="3"/>
        </w:numPr>
        <w:spacing w:before="100" w:beforeAutospacing="1" w:after="100" w:afterAutospacing="1" w:line="240" w:lineRule="auto"/>
        <w:textAlignment w:val="auto"/>
        <w:rPr>
          <w:sz w:val="20"/>
        </w:rPr>
      </w:pPr>
      <w:r w:rsidRPr="00B13A87">
        <w:rPr>
          <w:sz w:val="20"/>
        </w:rPr>
        <w:t>Read analytical reviews for trends, unusual practices, internal control matters.</w:t>
      </w:r>
    </w:p>
    <w:p w14:paraId="18110B69" w14:textId="77777777" w:rsidR="00F52058" w:rsidRDefault="00F52058">
      <w:pPr>
        <w:rPr>
          <w:rFonts w:ascii="Times New Roman" w:hAnsi="Times New Roman" w:cs="Times New Roman"/>
          <w:sz w:val="20"/>
          <w:szCs w:val="20"/>
        </w:rPr>
      </w:pPr>
    </w:p>
    <w:p w14:paraId="4EE83238" w14:textId="321A06FB" w:rsidR="00EF3A91" w:rsidRDefault="00EF3A91">
      <w:pPr>
        <w:widowControl/>
        <w:autoSpaceDE/>
        <w:autoSpaceDN/>
        <w:spacing w:after="160" w:line="259" w:lineRule="auto"/>
        <w:rPr>
          <w:rFonts w:ascii="Times New Roman" w:hAnsi="Times New Roman" w:cs="Times New Roman"/>
          <w:sz w:val="20"/>
          <w:szCs w:val="20"/>
        </w:rPr>
      </w:pPr>
    </w:p>
    <w:sectPr w:rsidR="00EF3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DAB"/>
    <w:multiLevelType w:val="hybridMultilevel"/>
    <w:tmpl w:val="BD2E2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B7BFC"/>
    <w:multiLevelType w:val="multilevel"/>
    <w:tmpl w:val="9BD6E824"/>
    <w:lvl w:ilvl="0">
      <w:start w:val="6"/>
      <w:numFmt w:val="decimal"/>
      <w:lvlText w:val="%1"/>
      <w:lvlJc w:val="left"/>
      <w:pPr>
        <w:tabs>
          <w:tab w:val="num" w:pos="1060"/>
        </w:tabs>
        <w:ind w:left="1060" w:hanging="340"/>
      </w:pPr>
      <w:rPr>
        <w:rFonts w:ascii="Arial" w:hAnsi="Arial" w:cs="Arial" w:hint="default"/>
      </w:rPr>
    </w:lvl>
    <w:lvl w:ilvl="1">
      <w:start w:val="1"/>
      <w:numFmt w:val="lowerLetter"/>
      <w:lvlText w:val="•"/>
      <w:lvlJc w:val="left"/>
      <w:pPr>
        <w:tabs>
          <w:tab w:val="num" w:pos="1400"/>
        </w:tabs>
        <w:ind w:left="1400" w:hanging="340"/>
      </w:pPr>
      <w:rPr>
        <w:rFonts w:ascii="Arial" w:hAnsi="Arial" w:cs="Arial" w:hint="default"/>
        <w:sz w:val="24"/>
      </w:rPr>
    </w:lvl>
    <w:lvl w:ilvl="2">
      <w:start w:val="1"/>
      <w:numFmt w:val="lowerRoman"/>
      <w:lvlText w:val="-"/>
      <w:lvlJc w:val="left"/>
      <w:pPr>
        <w:tabs>
          <w:tab w:val="num" w:pos="1740"/>
        </w:tabs>
        <w:ind w:left="1740" w:hanging="340"/>
      </w:pPr>
      <w:rPr>
        <w:rFonts w:ascii="9999999" w:hAnsi="9999999" w:hint="default"/>
      </w:rPr>
    </w:lvl>
    <w:lvl w:ilvl="3">
      <w:start w:val="1"/>
      <w:numFmt w:val="decimal"/>
      <w:lvlText w:val="•"/>
      <w:lvlJc w:val="left"/>
      <w:pPr>
        <w:tabs>
          <w:tab w:val="num" w:pos="2081"/>
        </w:tabs>
        <w:ind w:left="2081" w:hanging="341"/>
      </w:pPr>
      <w:rPr>
        <w:rFonts w:ascii="Arial" w:hAnsi="Arial" w:cs="Arial" w:hint="default"/>
      </w:rPr>
    </w:lvl>
    <w:lvl w:ilvl="4">
      <w:start w:val="1"/>
      <w:numFmt w:val="lowerLetter"/>
      <w:lvlText w:val="-"/>
      <w:lvlJc w:val="left"/>
      <w:pPr>
        <w:tabs>
          <w:tab w:val="num" w:pos="2421"/>
        </w:tabs>
        <w:ind w:left="2421" w:hanging="340"/>
      </w:pPr>
      <w:rPr>
        <w:rFonts w:ascii="9999999" w:hAnsi="9999999" w:hint="default"/>
      </w:rPr>
    </w:lvl>
    <w:lvl w:ilvl="5">
      <w:start w:val="1"/>
      <w:numFmt w:val="lowerRoman"/>
      <w:lvlText w:val="•"/>
      <w:lvlJc w:val="left"/>
      <w:pPr>
        <w:tabs>
          <w:tab w:val="num" w:pos="2761"/>
        </w:tabs>
        <w:ind w:left="2761" w:hanging="340"/>
      </w:pPr>
      <w:rPr>
        <w:rFonts w:ascii="Arial" w:hAnsi="Arial" w:cs="Arial" w:hint="default"/>
      </w:rPr>
    </w:lvl>
    <w:lvl w:ilvl="6">
      <w:start w:val="1"/>
      <w:numFmt w:val="decimal"/>
      <w:lvlText w:val="-"/>
      <w:lvlJc w:val="left"/>
      <w:pPr>
        <w:tabs>
          <w:tab w:val="num" w:pos="3101"/>
        </w:tabs>
        <w:ind w:left="3101" w:hanging="340"/>
      </w:pPr>
      <w:rPr>
        <w:rFonts w:ascii="9999999" w:hAnsi="9999999" w:hint="default"/>
      </w:rPr>
    </w:lvl>
    <w:lvl w:ilvl="7">
      <w:start w:val="1"/>
      <w:numFmt w:val="lowerLetter"/>
      <w:lvlText w:val="•"/>
      <w:lvlJc w:val="left"/>
      <w:pPr>
        <w:tabs>
          <w:tab w:val="num" w:pos="3441"/>
        </w:tabs>
        <w:ind w:left="3441" w:hanging="340"/>
      </w:pPr>
      <w:rPr>
        <w:rFonts w:ascii="Arial" w:hAnsi="Arial" w:cs="Arial" w:hint="default"/>
      </w:rPr>
    </w:lvl>
    <w:lvl w:ilvl="8">
      <w:start w:val="1"/>
      <w:numFmt w:val="lowerRoman"/>
      <w:lvlText w:val="-"/>
      <w:lvlJc w:val="left"/>
      <w:pPr>
        <w:tabs>
          <w:tab w:val="num" w:pos="3781"/>
        </w:tabs>
        <w:ind w:left="3781" w:hanging="340"/>
      </w:pPr>
      <w:rPr>
        <w:rFonts w:ascii="9999999" w:hAnsi="9999999" w:hint="default"/>
      </w:rPr>
    </w:lvl>
  </w:abstractNum>
  <w:abstractNum w:abstractNumId="2" w15:restartNumberingAfterBreak="0">
    <w:nsid w:val="1679631C"/>
    <w:multiLevelType w:val="singleLevel"/>
    <w:tmpl w:val="DCC616D0"/>
    <w:lvl w:ilvl="0">
      <w:start w:val="1"/>
      <w:numFmt w:val="lowerRoman"/>
      <w:lvlText w:val="%1."/>
      <w:lvlJc w:val="right"/>
      <w:pPr>
        <w:ind w:left="360" w:hanging="360"/>
      </w:pPr>
      <w:rPr>
        <w:b w:val="0"/>
        <w:color w:val="auto"/>
        <w:sz w:val="22"/>
      </w:rPr>
    </w:lvl>
  </w:abstractNum>
  <w:abstractNum w:abstractNumId="3" w15:restartNumberingAfterBreak="0">
    <w:nsid w:val="196B5C6C"/>
    <w:multiLevelType w:val="hybridMultilevel"/>
    <w:tmpl w:val="B824F5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69BF"/>
    <w:multiLevelType w:val="hybridMultilevel"/>
    <w:tmpl w:val="09F669EE"/>
    <w:lvl w:ilvl="0" w:tplc="EFF42414">
      <w:start w:val="1"/>
      <w:numFmt w:val="lowerLetter"/>
      <w:lvlText w:val="%1."/>
      <w:lvlJc w:val="left"/>
      <w:pPr>
        <w:ind w:left="108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F5B99"/>
    <w:multiLevelType w:val="singleLevel"/>
    <w:tmpl w:val="DCC616D0"/>
    <w:lvl w:ilvl="0">
      <w:start w:val="1"/>
      <w:numFmt w:val="lowerRoman"/>
      <w:lvlText w:val="%1."/>
      <w:lvlJc w:val="right"/>
      <w:pPr>
        <w:ind w:left="360" w:hanging="360"/>
      </w:pPr>
      <w:rPr>
        <w:b w:val="0"/>
        <w:color w:val="auto"/>
        <w:sz w:val="22"/>
      </w:rPr>
    </w:lvl>
  </w:abstractNum>
  <w:abstractNum w:abstractNumId="6" w15:restartNumberingAfterBreak="0">
    <w:nsid w:val="2E094AB2"/>
    <w:multiLevelType w:val="multilevel"/>
    <w:tmpl w:val="DF44EEAE"/>
    <w:lvl w:ilvl="0">
      <w:start w:val="2"/>
      <w:numFmt w:val="decimal"/>
      <w:lvlText w:val="%1."/>
      <w:lvlJc w:val="left"/>
      <w:pPr>
        <w:tabs>
          <w:tab w:val="num" w:pos="360"/>
        </w:tabs>
        <w:ind w:left="360" w:hanging="360"/>
      </w:pPr>
      <w:rPr>
        <w:b/>
        <w:i w:val="0"/>
      </w:rPr>
    </w:lvl>
    <w:lvl w:ilvl="1">
      <w:start w:val="9"/>
      <w:numFmt w:val="decimal"/>
      <w:lvlText w:val="%2."/>
      <w:lvlJc w:val="left"/>
      <w:pPr>
        <w:tabs>
          <w:tab w:val="num" w:pos="360"/>
        </w:tabs>
        <w:ind w:left="360" w:hanging="360"/>
      </w:pPr>
      <w:rPr>
        <w:b w:val="0"/>
        <w:i w:val="0"/>
      </w:rPr>
    </w:lvl>
    <w:lvl w:ilvl="2">
      <w:start w:val="1"/>
      <w:numFmt w:val="lowerRoman"/>
      <w:lvlText w:val="%3."/>
      <w:lvlJc w:val="right"/>
      <w:pPr>
        <w:tabs>
          <w:tab w:val="num" w:pos="1800"/>
        </w:tabs>
        <w:ind w:left="1800" w:hanging="180"/>
      </w:pPr>
      <w:rPr>
        <w:b w:val="0"/>
        <w:i w:val="0"/>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329E1613"/>
    <w:multiLevelType w:val="hybridMultilevel"/>
    <w:tmpl w:val="1CC061E8"/>
    <w:lvl w:ilvl="0" w:tplc="33FCC70C">
      <w:start w:val="1"/>
      <w:numFmt w:val="lowerLetter"/>
      <w:lvlText w:val="%1)"/>
      <w:lvlJc w:val="left"/>
      <w:pPr>
        <w:tabs>
          <w:tab w:val="num" w:pos="720"/>
        </w:tabs>
        <w:ind w:left="720" w:hanging="360"/>
      </w:pPr>
    </w:lvl>
    <w:lvl w:ilvl="1" w:tplc="9034A90E">
      <w:start w:val="1"/>
      <w:numFmt w:val="bullet"/>
      <w:lvlText w:val=""/>
      <w:lvlJc w:val="left"/>
      <w:pPr>
        <w:tabs>
          <w:tab w:val="num" w:pos="1440"/>
        </w:tabs>
        <w:ind w:left="1440" w:hanging="360"/>
      </w:pPr>
      <w:rPr>
        <w:rFonts w:ascii="Symbol" w:hAnsi="Symbol" w:hint="default"/>
      </w:rPr>
    </w:lvl>
    <w:lvl w:ilvl="2" w:tplc="FC96D16A">
      <w:start w:val="158"/>
      <w:numFmt w:val="bullet"/>
      <w:lvlText w:val=""/>
      <w:lvlJc w:val="left"/>
      <w:pPr>
        <w:tabs>
          <w:tab w:val="num" w:pos="2160"/>
        </w:tabs>
        <w:ind w:left="2160" w:hanging="360"/>
      </w:pPr>
      <w:rPr>
        <w:rFonts w:ascii="Symbol" w:hAnsi="Symbol" w:hint="default"/>
      </w:rPr>
    </w:lvl>
    <w:lvl w:ilvl="3" w:tplc="4FC0DBCA">
      <w:start w:val="1"/>
      <w:numFmt w:val="bullet"/>
      <w:lvlText w:val=""/>
      <w:lvlJc w:val="left"/>
      <w:pPr>
        <w:tabs>
          <w:tab w:val="num" w:pos="2880"/>
        </w:tabs>
        <w:ind w:left="2880" w:hanging="360"/>
      </w:pPr>
      <w:rPr>
        <w:rFonts w:ascii="Symbol" w:hAnsi="Symbol" w:hint="default"/>
      </w:rPr>
    </w:lvl>
    <w:lvl w:ilvl="4" w:tplc="500418FC">
      <w:start w:val="1"/>
      <w:numFmt w:val="bullet"/>
      <w:lvlText w:val=""/>
      <w:lvlJc w:val="left"/>
      <w:pPr>
        <w:tabs>
          <w:tab w:val="num" w:pos="3600"/>
        </w:tabs>
        <w:ind w:left="3600" w:hanging="360"/>
      </w:pPr>
      <w:rPr>
        <w:rFonts w:ascii="Symbol" w:hAnsi="Symbol" w:hint="default"/>
      </w:rPr>
    </w:lvl>
    <w:lvl w:ilvl="5" w:tplc="E854A1DC">
      <w:start w:val="1"/>
      <w:numFmt w:val="bullet"/>
      <w:lvlText w:val=""/>
      <w:lvlJc w:val="left"/>
      <w:pPr>
        <w:tabs>
          <w:tab w:val="num" w:pos="4320"/>
        </w:tabs>
        <w:ind w:left="4320" w:hanging="360"/>
      </w:pPr>
      <w:rPr>
        <w:rFonts w:ascii="Symbol" w:hAnsi="Symbol" w:hint="default"/>
      </w:rPr>
    </w:lvl>
    <w:lvl w:ilvl="6" w:tplc="FD0C5E6C">
      <w:start w:val="1"/>
      <w:numFmt w:val="bullet"/>
      <w:lvlText w:val=""/>
      <w:lvlJc w:val="left"/>
      <w:pPr>
        <w:tabs>
          <w:tab w:val="num" w:pos="5040"/>
        </w:tabs>
        <w:ind w:left="5040" w:hanging="360"/>
      </w:pPr>
      <w:rPr>
        <w:rFonts w:ascii="Symbol" w:hAnsi="Symbol" w:hint="default"/>
      </w:rPr>
    </w:lvl>
    <w:lvl w:ilvl="7" w:tplc="EF3444D2">
      <w:start w:val="1"/>
      <w:numFmt w:val="bullet"/>
      <w:lvlText w:val=""/>
      <w:lvlJc w:val="left"/>
      <w:pPr>
        <w:tabs>
          <w:tab w:val="num" w:pos="5760"/>
        </w:tabs>
        <w:ind w:left="5760" w:hanging="360"/>
      </w:pPr>
      <w:rPr>
        <w:rFonts w:ascii="Symbol" w:hAnsi="Symbol" w:hint="default"/>
      </w:rPr>
    </w:lvl>
    <w:lvl w:ilvl="8" w:tplc="964A2A9E">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B8BB5CF"/>
    <w:multiLevelType w:val="multilevel"/>
    <w:tmpl w:val="00000000"/>
    <w:styleLink w:val="pwnumbered-liststyles-4d920a25-9d91-c2a7-6487-8cf3fbeab2af"/>
    <w:lvl w:ilvl="0">
      <w:start w:val="1"/>
      <w:numFmt w:val="decimal"/>
      <w:pStyle w:val="pwnumbered-level1styles-4d920a25-9d91-c2a7-6487-8cf3fbeab2af"/>
      <w:lvlText w:val="%1."/>
      <w:lvlJc w:val="left"/>
      <w:pPr>
        <w:ind w:left="360" w:hanging="360"/>
      </w:pPr>
    </w:lvl>
    <w:lvl w:ilvl="1">
      <w:start w:val="1"/>
      <w:numFmt w:val="decimal"/>
      <w:pStyle w:val="pwnumbered-level2styles-4d920a25-9d91-c2a7-6487-8cf3fbeab2af"/>
      <w:lvlText w:val="%1.%2."/>
      <w:lvlJc w:val="left"/>
      <w:pPr>
        <w:ind w:left="1043" w:hanging="680"/>
      </w:pPr>
    </w:lvl>
    <w:lvl w:ilvl="2">
      <w:start w:val="1"/>
      <w:numFmt w:val="decimal"/>
      <w:pStyle w:val="pwnumbered-level3styles-4d920a25-9d91-c2a7-6487-8cf3fbeab2af"/>
      <w:lvlText w:val="%1.%2.%3."/>
      <w:lvlJc w:val="left"/>
      <w:pPr>
        <w:ind w:left="1683" w:hanging="963"/>
      </w:pPr>
    </w:lvl>
    <w:lvl w:ilvl="3">
      <w:start w:val="1"/>
      <w:numFmt w:val="decimal"/>
      <w:pStyle w:val="pwnumbered-level4styles-4d920a25-9d91-c2a7-6487-8cf3fbeab2af"/>
      <w:lvlText w:val="%1.%2.%3.%4."/>
      <w:lvlJc w:val="left"/>
      <w:pPr>
        <w:ind w:left="1728" w:hanging="648"/>
      </w:pPr>
    </w:lvl>
    <w:lvl w:ilvl="4">
      <w:start w:val="1"/>
      <w:numFmt w:val="decimal"/>
      <w:pStyle w:val="pwnumbered-level5styles-4d920a25-9d91-c2a7-6487-8cf3fbeab2af"/>
      <w:lvlText w:val="%1.%2.%3.%4.%5."/>
      <w:lvlJc w:val="left"/>
      <w:pPr>
        <w:ind w:left="2231" w:hanging="791"/>
      </w:pPr>
    </w:lvl>
    <w:lvl w:ilvl="5">
      <w:start w:val="1"/>
      <w:numFmt w:val="decimal"/>
      <w:pStyle w:val="pwnumbered-level6styles-4d920a25-9d91-c2a7-6487-8cf3fbeab2af"/>
      <w:lvlText w:val="%1.%2.%3.%4.%5.%6."/>
      <w:lvlJc w:val="left"/>
      <w:pPr>
        <w:ind w:left="2736" w:hanging="935"/>
      </w:pPr>
    </w:lvl>
    <w:lvl w:ilvl="6">
      <w:start w:val="1"/>
      <w:numFmt w:val="decimal"/>
      <w:pStyle w:val="pwnumbered-level7styles-4d920a25-9d91-c2a7-6487-8cf3fbeab2af"/>
      <w:lvlText w:val="%1.%2.%3.%4.%5.%6.%7."/>
      <w:lvlJc w:val="left"/>
      <w:pPr>
        <w:ind w:left="3240" w:hanging="1080"/>
      </w:pPr>
    </w:lvl>
    <w:lvl w:ilvl="7">
      <w:start w:val="1"/>
      <w:numFmt w:val="decimal"/>
      <w:pStyle w:val="pwnumbered-level8styles-4d920a25-9d91-c2a7-6487-8cf3fbeab2af"/>
      <w:lvlText w:val="%1.%2.%3.%4.%5.%6.%7.%8."/>
      <w:lvlJc w:val="left"/>
      <w:pPr>
        <w:ind w:left="3743" w:hanging="1224"/>
      </w:pPr>
    </w:lvl>
    <w:lvl w:ilvl="8">
      <w:start w:val="1"/>
      <w:numFmt w:val="decimal"/>
      <w:pStyle w:val="pwnumbered-level9styles-4d920a25-9d91-c2a7-6487-8cf3fbeab2af"/>
      <w:lvlText w:val="%1.%2.%3.%4.%5.%6.%7.%8.%9."/>
      <w:lvlJc w:val="left"/>
      <w:pPr>
        <w:ind w:left="4320" w:hanging="1440"/>
      </w:pPr>
    </w:lvl>
  </w:abstractNum>
  <w:abstractNum w:abstractNumId="9" w15:restartNumberingAfterBreak="0">
    <w:nsid w:val="40D1480F"/>
    <w:multiLevelType w:val="multilevel"/>
    <w:tmpl w:val="460ED31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 w15:restartNumberingAfterBreak="0">
    <w:nsid w:val="43EF6DCD"/>
    <w:multiLevelType w:val="hybridMultilevel"/>
    <w:tmpl w:val="2BF6F848"/>
    <w:lvl w:ilvl="0" w:tplc="ABC4F04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A2840"/>
    <w:multiLevelType w:val="hybridMultilevel"/>
    <w:tmpl w:val="92A8C2D2"/>
    <w:lvl w:ilvl="0" w:tplc="A7AE3DDA">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68028C"/>
    <w:multiLevelType w:val="multilevel"/>
    <w:tmpl w:val="FE3832C2"/>
    <w:lvl w:ilvl="0">
      <w:start w:val="1"/>
      <w:numFmt w:val="lowerLetter"/>
      <w:lvlText w:val="%1)"/>
      <w:lvlJc w:val="left"/>
      <w:pPr>
        <w:tabs>
          <w:tab w:val="num" w:pos="1060"/>
        </w:tabs>
        <w:ind w:left="1060" w:hanging="360"/>
      </w:pPr>
    </w:lvl>
    <w:lvl w:ilvl="1">
      <w:start w:val="1"/>
      <w:numFmt w:val="bullet"/>
      <w:lvlText w:val="–"/>
      <w:lvlJc w:val="left"/>
      <w:pPr>
        <w:tabs>
          <w:tab w:val="num" w:pos="1780"/>
        </w:tabs>
        <w:ind w:left="1780" w:hanging="360"/>
      </w:pPr>
      <w:rPr>
        <w:rFonts w:ascii="Times New Roman" w:hAnsi="Times New Roman" w:cs="Times New Roman" w:hint="default"/>
      </w:rPr>
    </w:lvl>
    <w:lvl w:ilvl="2">
      <w:start w:val="727"/>
      <w:numFmt w:val="bullet"/>
      <w:lvlText w:val="•"/>
      <w:lvlJc w:val="left"/>
      <w:pPr>
        <w:tabs>
          <w:tab w:val="num" w:pos="2500"/>
        </w:tabs>
        <w:ind w:left="2500" w:hanging="180"/>
      </w:pPr>
      <w:rPr>
        <w:rFonts w:ascii="Arial" w:hAnsi="Arial" w:cs="Times New Roman" w:hint="default"/>
      </w:rPr>
    </w:lvl>
    <w:lvl w:ilvl="3">
      <w:start w:val="1"/>
      <w:numFmt w:val="decimal"/>
      <w:lvlText w:val="%4."/>
      <w:lvlJc w:val="left"/>
      <w:pPr>
        <w:tabs>
          <w:tab w:val="num" w:pos="3220"/>
        </w:tabs>
        <w:ind w:left="3220" w:hanging="360"/>
      </w:pPr>
    </w:lvl>
    <w:lvl w:ilvl="4">
      <w:start w:val="1"/>
      <w:numFmt w:val="lowerLetter"/>
      <w:lvlText w:val="%5."/>
      <w:lvlJc w:val="left"/>
      <w:pPr>
        <w:tabs>
          <w:tab w:val="num" w:pos="3940"/>
        </w:tabs>
        <w:ind w:left="3940" w:hanging="360"/>
      </w:pPr>
    </w:lvl>
    <w:lvl w:ilvl="5">
      <w:start w:val="1"/>
      <w:numFmt w:val="lowerRoman"/>
      <w:lvlText w:val="%6."/>
      <w:lvlJc w:val="right"/>
      <w:pPr>
        <w:tabs>
          <w:tab w:val="num" w:pos="4660"/>
        </w:tabs>
        <w:ind w:left="4660" w:hanging="180"/>
      </w:pPr>
    </w:lvl>
    <w:lvl w:ilvl="6">
      <w:start w:val="1"/>
      <w:numFmt w:val="decimal"/>
      <w:lvlText w:val="%7."/>
      <w:lvlJc w:val="left"/>
      <w:pPr>
        <w:tabs>
          <w:tab w:val="num" w:pos="5380"/>
        </w:tabs>
        <w:ind w:left="5380" w:hanging="360"/>
      </w:pPr>
    </w:lvl>
    <w:lvl w:ilvl="7">
      <w:start w:val="1"/>
      <w:numFmt w:val="lowerLetter"/>
      <w:lvlText w:val="%8."/>
      <w:lvlJc w:val="left"/>
      <w:pPr>
        <w:tabs>
          <w:tab w:val="num" w:pos="6100"/>
        </w:tabs>
        <w:ind w:left="6100" w:hanging="360"/>
      </w:pPr>
    </w:lvl>
    <w:lvl w:ilvl="8">
      <w:start w:val="1"/>
      <w:numFmt w:val="lowerRoman"/>
      <w:lvlText w:val="%9."/>
      <w:lvlJc w:val="right"/>
      <w:pPr>
        <w:tabs>
          <w:tab w:val="num" w:pos="6820"/>
        </w:tabs>
        <w:ind w:left="6820" w:hanging="180"/>
      </w:pPr>
    </w:lvl>
  </w:abstractNum>
  <w:abstractNum w:abstractNumId="13" w15:restartNumberingAfterBreak="0">
    <w:nsid w:val="4F984A01"/>
    <w:multiLevelType w:val="hybridMultilevel"/>
    <w:tmpl w:val="BACA4C32"/>
    <w:lvl w:ilvl="0" w:tplc="9E5801DA">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5376129"/>
    <w:multiLevelType w:val="hybridMultilevel"/>
    <w:tmpl w:val="5FC0AEA2"/>
    <w:lvl w:ilvl="0" w:tplc="B2B08C68">
      <w:start w:val="1"/>
      <w:numFmt w:val="decimal"/>
      <w:lvlText w:val="%1."/>
      <w:lvlJc w:val="left"/>
      <w:pPr>
        <w:tabs>
          <w:tab w:val="num" w:pos="720"/>
        </w:tabs>
        <w:ind w:left="720" w:hanging="720"/>
      </w:pPr>
      <w:rPr>
        <w:b/>
        <w:i w:val="0"/>
      </w:rPr>
    </w:lvl>
    <w:lvl w:ilvl="1" w:tplc="EFF42414">
      <w:start w:val="1"/>
      <w:numFmt w:val="lowerLetter"/>
      <w:lvlText w:val="%2."/>
      <w:lvlJc w:val="left"/>
      <w:pPr>
        <w:ind w:left="1080" w:hanging="360"/>
      </w:pPr>
      <w:rPr>
        <w:b w:val="0"/>
        <w:bCs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59E4580E"/>
    <w:multiLevelType w:val="hybridMultilevel"/>
    <w:tmpl w:val="9E7A5542"/>
    <w:lvl w:ilvl="0" w:tplc="21C840F8">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151351C"/>
    <w:multiLevelType w:val="hybridMultilevel"/>
    <w:tmpl w:val="65EC7E60"/>
    <w:lvl w:ilvl="0" w:tplc="9A2AB3D0">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5948DA"/>
    <w:multiLevelType w:val="multilevel"/>
    <w:tmpl w:val="FE3832C2"/>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rPr>
    </w:lvl>
    <w:lvl w:ilvl="2">
      <w:start w:val="727"/>
      <w:numFmt w:val="bullet"/>
      <w:lvlText w:val="•"/>
      <w:lvlJc w:val="left"/>
      <w:pPr>
        <w:tabs>
          <w:tab w:val="num" w:pos="2160"/>
        </w:tabs>
        <w:ind w:left="2160" w:hanging="180"/>
      </w:pPr>
      <w:rPr>
        <w:rFonts w:ascii="Arial" w:hAnsi="Arial" w:cs="Times New Roman"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58F684C"/>
    <w:multiLevelType w:val="multilevel"/>
    <w:tmpl w:val="78084E4C"/>
    <w:lvl w:ilvl="0">
      <w:start w:val="1"/>
      <w:numFmt w:val="lowerLetter"/>
      <w:lvlText w:val="%1)"/>
      <w:lvlJc w:val="left"/>
      <w:pPr>
        <w:tabs>
          <w:tab w:val="num" w:pos="700"/>
        </w:tabs>
        <w:ind w:left="700" w:hanging="340"/>
      </w:pPr>
      <w:rPr>
        <w:rFonts w:ascii="Arial" w:eastAsiaTheme="minorHAnsi" w:hAnsi="Arial" w:cs="Arial"/>
        <w:b w:val="0"/>
        <w:i w:val="0"/>
        <w:sz w:val="20"/>
        <w:szCs w:val="20"/>
      </w:rPr>
    </w:lvl>
    <w:lvl w:ilvl="1">
      <w:start w:val="1"/>
      <w:numFmt w:val="bullet"/>
      <w:lvlText w:val=""/>
      <w:lvlJc w:val="left"/>
      <w:pPr>
        <w:tabs>
          <w:tab w:val="num" w:pos="1040"/>
        </w:tabs>
        <w:ind w:left="1040" w:hanging="340"/>
      </w:pPr>
      <w:rPr>
        <w:rFonts w:ascii="Symbol" w:hAnsi="Symbol" w:hint="default"/>
        <w:sz w:val="22"/>
      </w:rPr>
    </w:lvl>
    <w:lvl w:ilvl="2">
      <w:start w:val="1"/>
      <w:numFmt w:val="bullet"/>
      <w:lvlText w:val="-"/>
      <w:lvlJc w:val="left"/>
      <w:pPr>
        <w:tabs>
          <w:tab w:val="num" w:pos="1380"/>
        </w:tabs>
        <w:ind w:left="1380" w:hanging="340"/>
      </w:pPr>
      <w:rPr>
        <w:rFonts w:ascii="9999999" w:hAnsi="9999999" w:hint="default"/>
      </w:rPr>
    </w:lvl>
    <w:lvl w:ilvl="3">
      <w:start w:val="1"/>
      <w:numFmt w:val="bullet"/>
      <w:lvlText w:val=""/>
      <w:lvlJc w:val="left"/>
      <w:pPr>
        <w:tabs>
          <w:tab w:val="num" w:pos="1721"/>
        </w:tabs>
        <w:ind w:left="1721" w:hanging="341"/>
      </w:pPr>
      <w:rPr>
        <w:rFonts w:ascii="Symbol" w:hAnsi="Symbol" w:hint="default"/>
        <w:sz w:val="22"/>
      </w:rPr>
    </w:lvl>
    <w:lvl w:ilvl="4">
      <w:start w:val="1"/>
      <w:numFmt w:val="bullet"/>
      <w:lvlText w:val="-"/>
      <w:lvlJc w:val="left"/>
      <w:pPr>
        <w:tabs>
          <w:tab w:val="num" w:pos="2061"/>
        </w:tabs>
        <w:ind w:left="2061" w:hanging="340"/>
      </w:pPr>
      <w:rPr>
        <w:rFonts w:ascii="9999999" w:hAnsi="9999999" w:hint="default"/>
      </w:rPr>
    </w:lvl>
    <w:lvl w:ilvl="5">
      <w:start w:val="1"/>
      <w:numFmt w:val="bullet"/>
      <w:lvlText w:val=""/>
      <w:lvlJc w:val="left"/>
      <w:pPr>
        <w:tabs>
          <w:tab w:val="num" w:pos="2401"/>
        </w:tabs>
        <w:ind w:left="2401" w:hanging="340"/>
      </w:pPr>
      <w:rPr>
        <w:rFonts w:ascii="Wingdings" w:hAnsi="Wingdings" w:hint="default"/>
      </w:rPr>
    </w:lvl>
    <w:lvl w:ilvl="6">
      <w:start w:val="1"/>
      <w:numFmt w:val="bullet"/>
      <w:lvlText w:val=""/>
      <w:lvlJc w:val="left"/>
      <w:pPr>
        <w:tabs>
          <w:tab w:val="num" w:pos="2741"/>
        </w:tabs>
        <w:ind w:left="2741" w:hanging="340"/>
      </w:pPr>
      <w:rPr>
        <w:rFonts w:ascii="Wingdings" w:hAnsi="Wingdings" w:hint="default"/>
      </w:rPr>
    </w:lvl>
    <w:lvl w:ilvl="7">
      <w:start w:val="1"/>
      <w:numFmt w:val="bullet"/>
      <w:lvlText w:val=""/>
      <w:lvlJc w:val="left"/>
      <w:pPr>
        <w:tabs>
          <w:tab w:val="num" w:pos="3081"/>
        </w:tabs>
        <w:ind w:left="3081" w:hanging="340"/>
      </w:pPr>
      <w:rPr>
        <w:rFonts w:ascii="Symbol" w:hAnsi="Symbol" w:hint="default"/>
      </w:rPr>
    </w:lvl>
    <w:lvl w:ilvl="8">
      <w:start w:val="1"/>
      <w:numFmt w:val="bullet"/>
      <w:lvlText w:val=""/>
      <w:lvlJc w:val="left"/>
      <w:pPr>
        <w:tabs>
          <w:tab w:val="num" w:pos="3421"/>
        </w:tabs>
        <w:ind w:left="3421" w:hanging="340"/>
      </w:pPr>
      <w:rPr>
        <w:rFonts w:ascii="Symbol" w:hAnsi="Symbol" w:hint="default"/>
      </w:rPr>
    </w:lvl>
  </w:abstractNum>
  <w:abstractNum w:abstractNumId="19" w15:restartNumberingAfterBreak="0">
    <w:nsid w:val="6CFF3281"/>
    <w:multiLevelType w:val="singleLevel"/>
    <w:tmpl w:val="5C72F67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6ED668FB"/>
    <w:multiLevelType w:val="hybridMultilevel"/>
    <w:tmpl w:val="F6642510"/>
    <w:lvl w:ilvl="0" w:tplc="04090015">
      <w:start w:val="1"/>
      <w:numFmt w:val="upperLetter"/>
      <w:lvlText w:val="%1."/>
      <w:lvlJc w:val="left"/>
      <w:pPr>
        <w:tabs>
          <w:tab w:val="num" w:pos="720"/>
        </w:tabs>
        <w:ind w:left="720" w:hanging="72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BB4579"/>
    <w:multiLevelType w:val="multilevel"/>
    <w:tmpl w:val="9E7A5542"/>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6627137"/>
    <w:multiLevelType w:val="multilevel"/>
    <w:tmpl w:val="377264D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Arial" w:hAnsi="Arial" w:cs="Times New Roman"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9C97860"/>
    <w:multiLevelType w:val="multilevel"/>
    <w:tmpl w:val="377264D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Arial" w:hAnsi="Arial" w:cs="Times New Roman" w:hint="default"/>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04494413">
    <w:abstractNumId w:val="9"/>
  </w:num>
  <w:num w:numId="2" w16cid:durableId="918708489">
    <w:abstractNumId w:val="0"/>
  </w:num>
  <w:num w:numId="3" w16cid:durableId="3526527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762737">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7761034">
    <w:abstractNumId w:val="5"/>
    <w:lvlOverride w:ilvl="0">
      <w:startOverride w:val="1"/>
    </w:lvlOverride>
  </w:num>
  <w:num w:numId="6" w16cid:durableId="818690890">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3863487">
    <w:abstractNumId w:val="6"/>
    <w:lvlOverride w:ilvl="0">
      <w:startOverride w:val="2"/>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410003">
    <w:abstractNumId w:val="7"/>
    <w:lvlOverride w:ilvl="0">
      <w:startOverride w:val="1"/>
    </w:lvlOverride>
    <w:lvlOverride w:ilvl="1"/>
    <w:lvlOverride w:ilvl="2"/>
    <w:lvlOverride w:ilvl="3"/>
    <w:lvlOverride w:ilvl="4"/>
    <w:lvlOverride w:ilvl="5"/>
    <w:lvlOverride w:ilvl="6"/>
    <w:lvlOverride w:ilvl="7"/>
    <w:lvlOverride w:ilvl="8"/>
  </w:num>
  <w:num w:numId="9" w16cid:durableId="1722972310">
    <w:abstractNumId w:val="2"/>
    <w:lvlOverride w:ilvl="0">
      <w:startOverride w:val="1"/>
    </w:lvlOverride>
  </w:num>
  <w:num w:numId="10" w16cid:durableId="13779741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26475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61927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09645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4251793">
    <w:abstractNumId w:val="12"/>
  </w:num>
  <w:num w:numId="15" w16cid:durableId="368798940">
    <w:abstractNumId w:val="23"/>
  </w:num>
  <w:num w:numId="16" w16cid:durableId="540752366">
    <w:abstractNumId w:val="18"/>
    <w:lvlOverride w:ilvl="0">
      <w:startOverride w:val="1"/>
    </w:lvlOverride>
    <w:lvlOverride w:ilvl="1"/>
    <w:lvlOverride w:ilvl="2"/>
    <w:lvlOverride w:ilvl="3"/>
    <w:lvlOverride w:ilvl="4"/>
    <w:lvlOverride w:ilvl="5"/>
    <w:lvlOverride w:ilvl="6"/>
    <w:lvlOverride w:ilvl="7"/>
    <w:lvlOverride w:ilvl="8"/>
  </w:num>
  <w:num w:numId="17" w16cid:durableId="1753509460">
    <w:abstractNumId w:val="19"/>
  </w:num>
  <w:num w:numId="18" w16cid:durableId="1296981405">
    <w:abstractNumId w:val="3"/>
  </w:num>
  <w:num w:numId="19" w16cid:durableId="1284465216">
    <w:abstractNumId w:val="1"/>
  </w:num>
  <w:num w:numId="20" w16cid:durableId="2129815867">
    <w:abstractNumId w:val="10"/>
  </w:num>
  <w:num w:numId="21" w16cid:durableId="753815739">
    <w:abstractNumId w:val="14"/>
  </w:num>
  <w:num w:numId="22" w16cid:durableId="671757419">
    <w:abstractNumId w:val="4"/>
  </w:num>
  <w:num w:numId="23" w16cid:durableId="1949190004">
    <w:abstractNumId w:val="20"/>
  </w:num>
  <w:num w:numId="24" w16cid:durableId="1799911113">
    <w:abstractNumId w:val="11"/>
  </w:num>
  <w:num w:numId="25" w16cid:durableId="1629506573">
    <w:abstractNumId w:val="8"/>
  </w:num>
  <w:num w:numId="26" w16cid:durableId="20767357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DB"/>
    <w:rsid w:val="00026DA7"/>
    <w:rsid w:val="00041823"/>
    <w:rsid w:val="00060414"/>
    <w:rsid w:val="000C0BBE"/>
    <w:rsid w:val="000C502D"/>
    <w:rsid w:val="000E4F6B"/>
    <w:rsid w:val="00100A39"/>
    <w:rsid w:val="00107FB5"/>
    <w:rsid w:val="001625F0"/>
    <w:rsid w:val="0018309F"/>
    <w:rsid w:val="001C58D3"/>
    <w:rsid w:val="001C6C08"/>
    <w:rsid w:val="001F33EA"/>
    <w:rsid w:val="00201890"/>
    <w:rsid w:val="00217F6F"/>
    <w:rsid w:val="00223109"/>
    <w:rsid w:val="0029054C"/>
    <w:rsid w:val="00296DB5"/>
    <w:rsid w:val="002A447C"/>
    <w:rsid w:val="002C0499"/>
    <w:rsid w:val="002D2970"/>
    <w:rsid w:val="002F4561"/>
    <w:rsid w:val="00306550"/>
    <w:rsid w:val="00361BA0"/>
    <w:rsid w:val="00362AB2"/>
    <w:rsid w:val="00366872"/>
    <w:rsid w:val="00376614"/>
    <w:rsid w:val="004612F7"/>
    <w:rsid w:val="004840EB"/>
    <w:rsid w:val="004A15A9"/>
    <w:rsid w:val="00503034"/>
    <w:rsid w:val="0054651D"/>
    <w:rsid w:val="0056725A"/>
    <w:rsid w:val="005A45DB"/>
    <w:rsid w:val="00601BA7"/>
    <w:rsid w:val="00687B1B"/>
    <w:rsid w:val="006D49C8"/>
    <w:rsid w:val="006D5E7C"/>
    <w:rsid w:val="006F1F88"/>
    <w:rsid w:val="007116E0"/>
    <w:rsid w:val="00752A32"/>
    <w:rsid w:val="007C0783"/>
    <w:rsid w:val="007C553C"/>
    <w:rsid w:val="007D58B0"/>
    <w:rsid w:val="008E5CEA"/>
    <w:rsid w:val="00912321"/>
    <w:rsid w:val="00930162"/>
    <w:rsid w:val="00933C26"/>
    <w:rsid w:val="009743BA"/>
    <w:rsid w:val="009D4186"/>
    <w:rsid w:val="00A47BDB"/>
    <w:rsid w:val="00AA0967"/>
    <w:rsid w:val="00AE4FE5"/>
    <w:rsid w:val="00B13A87"/>
    <w:rsid w:val="00B36EDF"/>
    <w:rsid w:val="00B6277C"/>
    <w:rsid w:val="00B70D51"/>
    <w:rsid w:val="00B84C10"/>
    <w:rsid w:val="00C10F46"/>
    <w:rsid w:val="00C12E76"/>
    <w:rsid w:val="00C30D1F"/>
    <w:rsid w:val="00C50A9A"/>
    <w:rsid w:val="00C65418"/>
    <w:rsid w:val="00D42196"/>
    <w:rsid w:val="00D95C91"/>
    <w:rsid w:val="00DE55F6"/>
    <w:rsid w:val="00E369E4"/>
    <w:rsid w:val="00E72B86"/>
    <w:rsid w:val="00E87681"/>
    <w:rsid w:val="00EF3A91"/>
    <w:rsid w:val="00F05BF5"/>
    <w:rsid w:val="00F41BD9"/>
    <w:rsid w:val="00F52058"/>
    <w:rsid w:val="00FD5966"/>
    <w:rsid w:val="00FF21C0"/>
    <w:rsid w:val="00FF7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7932"/>
  <w15:chartTrackingRefBased/>
  <w15:docId w15:val="{CD5B9AA2-9212-4986-998A-8BBF681B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A45DB"/>
    <w:pPr>
      <w:widowControl w:val="0"/>
      <w:autoSpaceDE w:val="0"/>
      <w:autoSpaceDN w:val="0"/>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5A4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5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5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5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5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5DB"/>
    <w:rPr>
      <w:rFonts w:eastAsiaTheme="majorEastAsia" w:cstheme="majorBidi"/>
      <w:color w:val="272727" w:themeColor="text1" w:themeTint="D8"/>
    </w:rPr>
  </w:style>
  <w:style w:type="paragraph" w:styleId="Title">
    <w:name w:val="Title"/>
    <w:basedOn w:val="Normal"/>
    <w:next w:val="Normal"/>
    <w:link w:val="TitleChar"/>
    <w:uiPriority w:val="10"/>
    <w:qFormat/>
    <w:rsid w:val="005A45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5DB"/>
    <w:pPr>
      <w:spacing w:before="160"/>
      <w:jc w:val="center"/>
    </w:pPr>
    <w:rPr>
      <w:i/>
      <w:iCs/>
      <w:color w:val="404040" w:themeColor="text1" w:themeTint="BF"/>
    </w:rPr>
  </w:style>
  <w:style w:type="character" w:customStyle="1" w:styleId="QuoteChar">
    <w:name w:val="Quote Char"/>
    <w:basedOn w:val="DefaultParagraphFont"/>
    <w:link w:val="Quote"/>
    <w:uiPriority w:val="29"/>
    <w:rsid w:val="005A45DB"/>
    <w:rPr>
      <w:i/>
      <w:iCs/>
      <w:color w:val="404040" w:themeColor="text1" w:themeTint="BF"/>
    </w:rPr>
  </w:style>
  <w:style w:type="paragraph" w:styleId="ListParagraph">
    <w:name w:val="List Paragraph"/>
    <w:basedOn w:val="Normal"/>
    <w:uiPriority w:val="34"/>
    <w:qFormat/>
    <w:rsid w:val="005A45DB"/>
    <w:pPr>
      <w:ind w:left="720"/>
      <w:contextualSpacing/>
    </w:pPr>
  </w:style>
  <w:style w:type="character" w:styleId="IntenseEmphasis">
    <w:name w:val="Intense Emphasis"/>
    <w:basedOn w:val="DefaultParagraphFont"/>
    <w:uiPriority w:val="21"/>
    <w:qFormat/>
    <w:rsid w:val="005A45DB"/>
    <w:rPr>
      <w:i/>
      <w:iCs/>
      <w:color w:val="0F4761" w:themeColor="accent1" w:themeShade="BF"/>
    </w:rPr>
  </w:style>
  <w:style w:type="paragraph" w:styleId="IntenseQuote">
    <w:name w:val="Intense Quote"/>
    <w:basedOn w:val="Normal"/>
    <w:next w:val="Normal"/>
    <w:link w:val="IntenseQuoteChar"/>
    <w:uiPriority w:val="30"/>
    <w:qFormat/>
    <w:rsid w:val="005A4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5DB"/>
    <w:rPr>
      <w:i/>
      <w:iCs/>
      <w:color w:val="0F4761" w:themeColor="accent1" w:themeShade="BF"/>
    </w:rPr>
  </w:style>
  <w:style w:type="character" w:styleId="IntenseReference">
    <w:name w:val="Intense Reference"/>
    <w:basedOn w:val="DefaultParagraphFont"/>
    <w:uiPriority w:val="32"/>
    <w:qFormat/>
    <w:rsid w:val="005A45DB"/>
    <w:rPr>
      <w:b/>
      <w:bCs/>
      <w:smallCaps/>
      <w:color w:val="0F4761" w:themeColor="accent1" w:themeShade="BF"/>
      <w:spacing w:val="5"/>
    </w:rPr>
  </w:style>
  <w:style w:type="paragraph" w:styleId="BodyText">
    <w:name w:val="Body Text"/>
    <w:basedOn w:val="Normal"/>
    <w:link w:val="BodyTextChar"/>
    <w:uiPriority w:val="1"/>
    <w:qFormat/>
    <w:rsid w:val="005A45DB"/>
    <w:rPr>
      <w:sz w:val="16"/>
      <w:szCs w:val="16"/>
    </w:rPr>
  </w:style>
  <w:style w:type="character" w:customStyle="1" w:styleId="BodyTextChar">
    <w:name w:val="Body Text Char"/>
    <w:basedOn w:val="DefaultParagraphFont"/>
    <w:link w:val="BodyText"/>
    <w:uiPriority w:val="1"/>
    <w:rsid w:val="005A45DB"/>
    <w:rPr>
      <w:rFonts w:ascii="Arial" w:eastAsia="Arial" w:hAnsi="Arial" w:cs="Arial"/>
      <w:kern w:val="0"/>
      <w:sz w:val="16"/>
      <w:szCs w:val="16"/>
      <w14:ligatures w14:val="none"/>
    </w:rPr>
  </w:style>
  <w:style w:type="paragraph" w:customStyle="1" w:styleId="Bulletfornos">
    <w:name w:val="Bullet for no #'s"/>
    <w:aliases w:val="b1,Bullet 1"/>
    <w:basedOn w:val="Normal"/>
    <w:uiPriority w:val="99"/>
    <w:rsid w:val="005A45DB"/>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paragraph" w:customStyle="1" w:styleId="Bulletwiths">
    <w:name w:val="Bullet with #'s"/>
    <w:aliases w:val="b2,Bullet 2"/>
    <w:basedOn w:val="Normal"/>
    <w:rsid w:val="005A45DB"/>
    <w:pPr>
      <w:widowControl/>
      <w:overflowPunct w:val="0"/>
      <w:adjustRightInd w:val="0"/>
      <w:spacing w:before="120" w:line="260" w:lineRule="atLeast"/>
      <w:ind w:left="1080" w:hanging="360"/>
    </w:pPr>
    <w:rPr>
      <w:rFonts w:ascii="Times New Roman" w:eastAsia="Times New Roman" w:hAnsi="Times New Roman" w:cs="Times New Roman"/>
      <w:szCs w:val="20"/>
    </w:rPr>
  </w:style>
  <w:style w:type="paragraph" w:styleId="PlainText">
    <w:name w:val="Plain Text"/>
    <w:basedOn w:val="Normal"/>
    <w:link w:val="PlainTextChar"/>
    <w:uiPriority w:val="99"/>
    <w:semiHidden/>
    <w:unhideWhenUsed/>
    <w:rsid w:val="005A45DB"/>
    <w:pPr>
      <w:widowControl/>
      <w:autoSpaceDE/>
      <w:autoSpaceDN/>
    </w:pPr>
    <w:rPr>
      <w:rFonts w:ascii="Calibri" w:eastAsia="Times New Roman" w:hAnsi="Calibri" w:cstheme="minorBidi"/>
      <w:kern w:val="2"/>
      <w:szCs w:val="21"/>
      <w14:ligatures w14:val="standardContextual"/>
    </w:rPr>
  </w:style>
  <w:style w:type="character" w:customStyle="1" w:styleId="PlainTextChar">
    <w:name w:val="Plain Text Char"/>
    <w:basedOn w:val="DefaultParagraphFont"/>
    <w:link w:val="PlainText"/>
    <w:uiPriority w:val="99"/>
    <w:semiHidden/>
    <w:rsid w:val="005A45DB"/>
    <w:rPr>
      <w:rFonts w:ascii="Calibri" w:eastAsia="Times New Roman" w:hAnsi="Calibri"/>
      <w:szCs w:val="21"/>
    </w:rPr>
  </w:style>
  <w:style w:type="paragraph" w:styleId="Revision">
    <w:name w:val="Revision"/>
    <w:hidden/>
    <w:uiPriority w:val="99"/>
    <w:semiHidden/>
    <w:rsid w:val="002F4561"/>
    <w:pPr>
      <w:spacing w:after="0" w:line="240" w:lineRule="auto"/>
    </w:pPr>
    <w:rPr>
      <w:rFonts w:ascii="Arial" w:eastAsia="Arial" w:hAnsi="Arial" w:cs="Arial"/>
      <w:kern w:val="0"/>
      <w14:ligatures w14:val="none"/>
    </w:rPr>
  </w:style>
  <w:style w:type="character" w:styleId="CommentReference">
    <w:name w:val="annotation reference"/>
    <w:basedOn w:val="DefaultParagraphFont"/>
    <w:uiPriority w:val="99"/>
    <w:semiHidden/>
    <w:unhideWhenUsed/>
    <w:rsid w:val="009743BA"/>
    <w:rPr>
      <w:sz w:val="16"/>
      <w:szCs w:val="16"/>
    </w:rPr>
  </w:style>
  <w:style w:type="paragraph" w:styleId="CommentText">
    <w:name w:val="annotation text"/>
    <w:basedOn w:val="Normal"/>
    <w:link w:val="CommentTextChar"/>
    <w:uiPriority w:val="99"/>
    <w:unhideWhenUsed/>
    <w:rsid w:val="009743BA"/>
    <w:rPr>
      <w:sz w:val="20"/>
      <w:szCs w:val="20"/>
    </w:rPr>
  </w:style>
  <w:style w:type="character" w:customStyle="1" w:styleId="CommentTextChar">
    <w:name w:val="Comment Text Char"/>
    <w:basedOn w:val="DefaultParagraphFont"/>
    <w:link w:val="CommentText"/>
    <w:uiPriority w:val="99"/>
    <w:rsid w:val="009743BA"/>
    <w:rPr>
      <w:rFonts w:ascii="Arial" w:eastAsia="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743BA"/>
    <w:rPr>
      <w:b/>
      <w:bCs/>
    </w:rPr>
  </w:style>
  <w:style w:type="character" w:customStyle="1" w:styleId="CommentSubjectChar">
    <w:name w:val="Comment Subject Char"/>
    <w:basedOn w:val="CommentTextChar"/>
    <w:link w:val="CommentSubject"/>
    <w:uiPriority w:val="99"/>
    <w:semiHidden/>
    <w:rsid w:val="009743BA"/>
    <w:rPr>
      <w:rFonts w:ascii="Arial" w:eastAsia="Arial" w:hAnsi="Arial" w:cs="Arial"/>
      <w:b/>
      <w:bCs/>
      <w:kern w:val="0"/>
      <w:sz w:val="20"/>
      <w:szCs w:val="20"/>
      <w14:ligatures w14:val="none"/>
    </w:rPr>
  </w:style>
  <w:style w:type="character" w:customStyle="1" w:styleId="ClearFont">
    <w:name w:val="Clear Font"/>
    <w:qFormat/>
    <w:rsid w:val="00100A39"/>
    <w:rPr>
      <w:i w:val="0"/>
    </w:rPr>
  </w:style>
  <w:style w:type="numbering" w:customStyle="1" w:styleId="pwnumbered-liststyles-4d920a25-9d91-c2a7-6487-8cf3fbeab2af">
    <w:name w:val="pw_numbered-list_styles-4d920a25-9d91-c2a7-6487-8cf3fbeab2af"/>
    <w:qFormat/>
    <w:rsid w:val="00100A39"/>
    <w:pPr>
      <w:numPr>
        <w:numId w:val="25"/>
      </w:numPr>
    </w:pPr>
  </w:style>
  <w:style w:type="paragraph" w:customStyle="1" w:styleId="pwnumbered-level1styles-4d920a25-9d91-c2a7-6487-8cf3fbeab2af">
    <w:name w:val="pw_numbered-level1_styles-4d920a25-9d91-c2a7-6487-8cf3fbeab2af"/>
    <w:basedOn w:val="Normal"/>
    <w:qFormat/>
    <w:rsid w:val="00100A39"/>
    <w:pPr>
      <w:widowControl/>
      <w:numPr>
        <w:numId w:val="25"/>
      </w:numPr>
      <w:autoSpaceDE/>
      <w:autoSpaceDN/>
      <w:spacing w:after="200"/>
    </w:pPr>
    <w:rPr>
      <w:rFonts w:eastAsia="Times New Roman"/>
      <w:sz w:val="20"/>
      <w:szCs w:val="20"/>
      <w:lang w:val="en-AU" w:eastAsia="en-AU"/>
    </w:rPr>
  </w:style>
  <w:style w:type="paragraph" w:customStyle="1" w:styleId="pwnumbered-level2styles-4d920a25-9d91-c2a7-6487-8cf3fbeab2af">
    <w:name w:val="pw_numbered-level2_styles-4d920a25-9d91-c2a7-6487-8cf3fbeab2af"/>
    <w:basedOn w:val="Normal"/>
    <w:qFormat/>
    <w:rsid w:val="00100A39"/>
    <w:pPr>
      <w:widowControl/>
      <w:numPr>
        <w:ilvl w:val="1"/>
        <w:numId w:val="25"/>
      </w:numPr>
      <w:autoSpaceDE/>
      <w:autoSpaceDN/>
      <w:spacing w:after="200"/>
    </w:pPr>
    <w:rPr>
      <w:rFonts w:eastAsia="Times New Roman"/>
      <w:sz w:val="20"/>
      <w:szCs w:val="20"/>
      <w:lang w:val="en-AU" w:eastAsia="en-AU"/>
    </w:rPr>
  </w:style>
  <w:style w:type="paragraph" w:customStyle="1" w:styleId="pwnumbered-level3styles-4d920a25-9d91-c2a7-6487-8cf3fbeab2af">
    <w:name w:val="pw_numbered-level3_styles-4d920a25-9d91-c2a7-6487-8cf3fbeab2af"/>
    <w:basedOn w:val="Normal"/>
    <w:qFormat/>
    <w:rsid w:val="00100A39"/>
    <w:pPr>
      <w:widowControl/>
      <w:numPr>
        <w:ilvl w:val="2"/>
        <w:numId w:val="25"/>
      </w:numPr>
      <w:autoSpaceDE/>
      <w:autoSpaceDN/>
      <w:spacing w:after="200"/>
    </w:pPr>
    <w:rPr>
      <w:rFonts w:eastAsia="Times New Roman"/>
      <w:sz w:val="20"/>
      <w:szCs w:val="20"/>
      <w:lang w:val="en-AU" w:eastAsia="en-AU"/>
    </w:rPr>
  </w:style>
  <w:style w:type="paragraph" w:customStyle="1" w:styleId="pwnumbered-level4styles-4d920a25-9d91-c2a7-6487-8cf3fbeab2af">
    <w:name w:val="pw_numbered-level4_styles-4d920a25-9d91-c2a7-6487-8cf3fbeab2af"/>
    <w:basedOn w:val="Normal"/>
    <w:qFormat/>
    <w:rsid w:val="00100A39"/>
    <w:pPr>
      <w:widowControl/>
      <w:numPr>
        <w:ilvl w:val="3"/>
        <w:numId w:val="25"/>
      </w:numPr>
      <w:autoSpaceDE/>
      <w:autoSpaceDN/>
      <w:spacing w:after="200"/>
    </w:pPr>
    <w:rPr>
      <w:rFonts w:eastAsia="Times New Roman"/>
      <w:sz w:val="20"/>
      <w:szCs w:val="20"/>
      <w:lang w:val="en-AU" w:eastAsia="en-AU"/>
    </w:rPr>
  </w:style>
  <w:style w:type="paragraph" w:customStyle="1" w:styleId="pwnumbered-level5styles-4d920a25-9d91-c2a7-6487-8cf3fbeab2af">
    <w:name w:val="pw_numbered-level5_styles-4d920a25-9d91-c2a7-6487-8cf3fbeab2af"/>
    <w:basedOn w:val="Normal"/>
    <w:qFormat/>
    <w:rsid w:val="00100A39"/>
    <w:pPr>
      <w:widowControl/>
      <w:numPr>
        <w:ilvl w:val="4"/>
        <w:numId w:val="25"/>
      </w:numPr>
      <w:autoSpaceDE/>
      <w:autoSpaceDN/>
      <w:spacing w:after="200"/>
    </w:pPr>
    <w:rPr>
      <w:rFonts w:eastAsia="Times New Roman"/>
      <w:sz w:val="20"/>
      <w:szCs w:val="20"/>
      <w:lang w:val="en-AU" w:eastAsia="en-AU"/>
    </w:rPr>
  </w:style>
  <w:style w:type="paragraph" w:customStyle="1" w:styleId="pwnumbered-level6styles-4d920a25-9d91-c2a7-6487-8cf3fbeab2af">
    <w:name w:val="pw_numbered-level6_styles-4d920a25-9d91-c2a7-6487-8cf3fbeab2af"/>
    <w:basedOn w:val="Normal"/>
    <w:qFormat/>
    <w:rsid w:val="00100A39"/>
    <w:pPr>
      <w:widowControl/>
      <w:numPr>
        <w:ilvl w:val="5"/>
        <w:numId w:val="25"/>
      </w:numPr>
      <w:autoSpaceDE/>
      <w:autoSpaceDN/>
      <w:spacing w:after="200"/>
    </w:pPr>
    <w:rPr>
      <w:rFonts w:eastAsia="Times New Roman"/>
      <w:sz w:val="20"/>
      <w:szCs w:val="20"/>
      <w:lang w:val="en-AU" w:eastAsia="en-AU"/>
    </w:rPr>
  </w:style>
  <w:style w:type="paragraph" w:customStyle="1" w:styleId="pwnumbered-level7styles-4d920a25-9d91-c2a7-6487-8cf3fbeab2af">
    <w:name w:val="pw_numbered-level7_styles-4d920a25-9d91-c2a7-6487-8cf3fbeab2af"/>
    <w:basedOn w:val="Normal"/>
    <w:qFormat/>
    <w:rsid w:val="00100A39"/>
    <w:pPr>
      <w:widowControl/>
      <w:numPr>
        <w:ilvl w:val="6"/>
        <w:numId w:val="25"/>
      </w:numPr>
      <w:autoSpaceDE/>
      <w:autoSpaceDN/>
      <w:spacing w:after="200"/>
    </w:pPr>
    <w:rPr>
      <w:rFonts w:eastAsia="Times New Roman"/>
      <w:sz w:val="20"/>
      <w:szCs w:val="20"/>
      <w:lang w:val="en-AU" w:eastAsia="en-AU"/>
    </w:rPr>
  </w:style>
  <w:style w:type="paragraph" w:customStyle="1" w:styleId="pwnumbered-level8styles-4d920a25-9d91-c2a7-6487-8cf3fbeab2af">
    <w:name w:val="pw_numbered-level8_styles-4d920a25-9d91-c2a7-6487-8cf3fbeab2af"/>
    <w:basedOn w:val="Normal"/>
    <w:qFormat/>
    <w:rsid w:val="00100A39"/>
    <w:pPr>
      <w:widowControl/>
      <w:numPr>
        <w:ilvl w:val="7"/>
        <w:numId w:val="25"/>
      </w:numPr>
      <w:autoSpaceDE/>
      <w:autoSpaceDN/>
      <w:spacing w:after="200"/>
    </w:pPr>
    <w:rPr>
      <w:rFonts w:eastAsia="Times New Roman"/>
      <w:sz w:val="20"/>
      <w:szCs w:val="20"/>
      <w:lang w:val="en-AU" w:eastAsia="en-AU"/>
    </w:rPr>
  </w:style>
  <w:style w:type="paragraph" w:customStyle="1" w:styleId="pwnumbered-level9styles-4d920a25-9d91-c2a7-6487-8cf3fbeab2af">
    <w:name w:val="pw_numbered-level9_styles-4d920a25-9d91-c2a7-6487-8cf3fbeab2af"/>
    <w:basedOn w:val="Normal"/>
    <w:qFormat/>
    <w:rsid w:val="00100A39"/>
    <w:pPr>
      <w:widowControl/>
      <w:numPr>
        <w:ilvl w:val="8"/>
        <w:numId w:val="25"/>
      </w:numPr>
      <w:autoSpaceDE/>
      <w:autoSpaceDN/>
      <w:spacing w:after="200"/>
    </w:pPr>
    <w:rPr>
      <w:rFonts w:eastAsia="Times New Roman"/>
      <w:sz w:val="20"/>
      <w:szCs w:val="20"/>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429217">
      <w:bodyDiv w:val="1"/>
      <w:marLeft w:val="0"/>
      <w:marRight w:val="0"/>
      <w:marTop w:val="0"/>
      <w:marBottom w:val="0"/>
      <w:divBdr>
        <w:top w:val="none" w:sz="0" w:space="0" w:color="auto"/>
        <w:left w:val="none" w:sz="0" w:space="0" w:color="auto"/>
        <w:bottom w:val="none" w:sz="0" w:space="0" w:color="auto"/>
        <w:right w:val="none" w:sz="0" w:space="0" w:color="auto"/>
      </w:divBdr>
    </w:div>
    <w:div w:id="566186551">
      <w:bodyDiv w:val="1"/>
      <w:marLeft w:val="0"/>
      <w:marRight w:val="0"/>
      <w:marTop w:val="0"/>
      <w:marBottom w:val="0"/>
      <w:divBdr>
        <w:top w:val="none" w:sz="0" w:space="0" w:color="auto"/>
        <w:left w:val="none" w:sz="0" w:space="0" w:color="auto"/>
        <w:bottom w:val="none" w:sz="0" w:space="0" w:color="auto"/>
        <w:right w:val="none" w:sz="0" w:space="0" w:color="auto"/>
      </w:divBdr>
    </w:div>
    <w:div w:id="578566409">
      <w:bodyDiv w:val="1"/>
      <w:marLeft w:val="0"/>
      <w:marRight w:val="0"/>
      <w:marTop w:val="0"/>
      <w:marBottom w:val="0"/>
      <w:divBdr>
        <w:top w:val="none" w:sz="0" w:space="0" w:color="auto"/>
        <w:left w:val="none" w:sz="0" w:space="0" w:color="auto"/>
        <w:bottom w:val="none" w:sz="0" w:space="0" w:color="auto"/>
        <w:right w:val="none" w:sz="0" w:space="0" w:color="auto"/>
      </w:divBdr>
    </w:div>
    <w:div w:id="933706032">
      <w:bodyDiv w:val="1"/>
      <w:marLeft w:val="0"/>
      <w:marRight w:val="0"/>
      <w:marTop w:val="0"/>
      <w:marBottom w:val="0"/>
      <w:divBdr>
        <w:top w:val="none" w:sz="0" w:space="0" w:color="auto"/>
        <w:left w:val="none" w:sz="0" w:space="0" w:color="auto"/>
        <w:bottom w:val="none" w:sz="0" w:space="0" w:color="auto"/>
        <w:right w:val="none" w:sz="0" w:space="0" w:color="auto"/>
      </w:divBdr>
    </w:div>
    <w:div w:id="1006446866">
      <w:bodyDiv w:val="1"/>
      <w:marLeft w:val="0"/>
      <w:marRight w:val="0"/>
      <w:marTop w:val="0"/>
      <w:marBottom w:val="0"/>
      <w:divBdr>
        <w:top w:val="none" w:sz="0" w:space="0" w:color="auto"/>
        <w:left w:val="none" w:sz="0" w:space="0" w:color="auto"/>
        <w:bottom w:val="none" w:sz="0" w:space="0" w:color="auto"/>
        <w:right w:val="none" w:sz="0" w:space="0" w:color="auto"/>
      </w:divBdr>
    </w:div>
    <w:div w:id="1042171968">
      <w:bodyDiv w:val="1"/>
      <w:marLeft w:val="0"/>
      <w:marRight w:val="0"/>
      <w:marTop w:val="0"/>
      <w:marBottom w:val="0"/>
      <w:divBdr>
        <w:top w:val="none" w:sz="0" w:space="0" w:color="auto"/>
        <w:left w:val="none" w:sz="0" w:space="0" w:color="auto"/>
        <w:bottom w:val="none" w:sz="0" w:space="0" w:color="auto"/>
        <w:right w:val="none" w:sz="0" w:space="0" w:color="auto"/>
      </w:divBdr>
    </w:div>
    <w:div w:id="1321423845">
      <w:bodyDiv w:val="1"/>
      <w:marLeft w:val="0"/>
      <w:marRight w:val="0"/>
      <w:marTop w:val="0"/>
      <w:marBottom w:val="0"/>
      <w:divBdr>
        <w:top w:val="none" w:sz="0" w:space="0" w:color="auto"/>
        <w:left w:val="none" w:sz="0" w:space="0" w:color="auto"/>
        <w:bottom w:val="none" w:sz="0" w:space="0" w:color="auto"/>
        <w:right w:val="none" w:sz="0" w:space="0" w:color="auto"/>
      </w:divBdr>
    </w:div>
    <w:div w:id="1715694825">
      <w:bodyDiv w:val="1"/>
      <w:marLeft w:val="0"/>
      <w:marRight w:val="0"/>
      <w:marTop w:val="0"/>
      <w:marBottom w:val="0"/>
      <w:divBdr>
        <w:top w:val="none" w:sz="0" w:space="0" w:color="auto"/>
        <w:left w:val="none" w:sz="0" w:space="0" w:color="auto"/>
        <w:bottom w:val="none" w:sz="0" w:space="0" w:color="auto"/>
        <w:right w:val="none" w:sz="0" w:space="0" w:color="auto"/>
      </w:divBdr>
    </w:div>
    <w:div w:id="182192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37FB78-D441-461A-BDCC-BD49F9F36327}"/>
</file>

<file path=customXml/itemProps2.xml><?xml version="1.0" encoding="utf-8"?>
<ds:datastoreItem xmlns:ds="http://schemas.openxmlformats.org/officeDocument/2006/customXml" ds:itemID="{9D3099B6-CD63-4913-B618-32E0444F1CE9}"/>
</file>

<file path=customXml/itemProps3.xml><?xml version="1.0" encoding="utf-8"?>
<ds:datastoreItem xmlns:ds="http://schemas.openxmlformats.org/officeDocument/2006/customXml" ds:itemID="{F57BCBFC-675D-4332-B8DC-FB72E52FECE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1</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James</dc:creator>
  <cp:keywords/>
  <dc:description/>
  <cp:lastModifiedBy>Mammoliti, Mike</cp:lastModifiedBy>
  <cp:revision>2</cp:revision>
  <dcterms:created xsi:type="dcterms:W3CDTF">2025-04-11T22:05:00Z</dcterms:created>
  <dcterms:modified xsi:type="dcterms:W3CDTF">2025-04-11T22:05:00Z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