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Segoe UI" w:hAnsi="Segoe UI"/>
          <w:b/>
          <w:color w:val="0F5132"/>
          <w:sz w:val="52"/>
        </w:rPr>
        <w:t>Khandesh Cotton Farm Intelligence, Remote Agro-Climatic Sensing &amp; Leaf Pathology Diagnostic System</w:t>
      </w:r>
    </w:p>
    <w:p>
      <w:pPr>
        <w:spacing w:after="480"/>
        <w:jc w:val="center"/>
      </w:pPr>
      <w:r>
        <w:rPr>
          <w:rFonts w:ascii="Segoe UI" w:hAnsi="Segoe UI"/>
          <w:color w:val="198754"/>
          <w:sz w:val="26"/>
        </w:rPr>
        <w:t>धुळे कापूस कृषी बुद्धिमत्ता — Comprehensive Technical &amp; Engineering Project Report</w:t>
      </w:r>
    </w:p>
    <w:tbl>
      <w:tblPr>
        <w:tblW w:type="auto" w:w="0"/>
        <w:jc w:val="center"/>
        <w:tblLook w:firstColumn="1" w:firstRow="1" w:lastColumn="0" w:lastRow="0" w:noHBand="0" w:noVBand="1" w:val="04A0"/>
      </w:tblPr>
      <w:tblGrid>
        <w:gridCol w:w="4680"/>
        <w:gridCol w:w="4680"/>
      </w:tblGrid>
      <w:tr>
        <w:tc>
          <w:tcPr>
            <w:tcW w:type="dxa" w:w="3168"/>
            <w:shd w:fill="F8FAFC"/>
            <w:tcMar>
              <w:top w:w="80" w:type="dxa"/>
              <w:bottom w:w="80" w:type="dxa"/>
              <w:left w:w="120" w:type="dxa"/>
              <w:right w:w="120" w:type="dxa"/>
            </w:tcMar>
          </w:tcPr>
          <w:p>
            <w:r>
              <w:rPr>
                <w:b/>
                <w:color w:val="0F5132"/>
                <w:sz w:val="19"/>
              </w:rPr>
              <w:t>Project Title</w:t>
            </w:r>
          </w:p>
        </w:tc>
        <w:tc>
          <w:tcPr>
            <w:tcW w:type="dxa" w:w="6192"/>
            <w:shd w:fill="FFFFFF"/>
            <w:tcMar>
              <w:top w:w="80" w:type="dxa"/>
              <w:bottom w:w="80" w:type="dxa"/>
              <w:left w:w="120" w:type="dxa"/>
              <w:right w:w="120" w:type="dxa"/>
            </w:tcMar>
          </w:tcPr>
          <w:p>
            <w:r>
              <w:rPr>
                <w:color w:val="1E293B"/>
                <w:sz w:val="19"/>
              </w:rPr>
              <w:t>Cotton Leaf Disease Detection, Remote Sensing &amp; Farm Intelligence for Dhule District</w:t>
            </w:r>
          </w:p>
        </w:tc>
      </w:tr>
      <w:tr>
        <w:tc>
          <w:tcPr>
            <w:tcW w:type="dxa" w:w="3168"/>
            <w:shd w:fill="F8FAFC"/>
            <w:tcMar>
              <w:top w:w="80" w:type="dxa"/>
              <w:bottom w:w="80" w:type="dxa"/>
              <w:left w:w="120" w:type="dxa"/>
              <w:right w:w="120" w:type="dxa"/>
            </w:tcMar>
          </w:tcPr>
          <w:p>
            <w:r>
              <w:rPr>
                <w:b/>
                <w:color w:val="0F5132"/>
                <w:sz w:val="19"/>
              </w:rPr>
              <w:t>Target Region</w:t>
            </w:r>
          </w:p>
        </w:tc>
        <w:tc>
          <w:tcPr>
            <w:tcW w:type="dxa" w:w="6192"/>
            <w:shd w:fill="FFFFFF"/>
            <w:tcMar>
              <w:top w:w="80" w:type="dxa"/>
              <w:bottom w:w="80" w:type="dxa"/>
              <w:left w:w="120" w:type="dxa"/>
              <w:right w:w="120" w:type="dxa"/>
            </w:tcMar>
          </w:tcPr>
          <w:p>
            <w:r>
              <w:rPr>
                <w:color w:val="1E293B"/>
                <w:sz w:val="19"/>
              </w:rPr>
              <w:t>Dhule District, Maharashtra (Dhule, Shirpur, Sindkheda, Sakri Talukas)</w:t>
            </w:r>
          </w:p>
        </w:tc>
      </w:tr>
      <w:tr>
        <w:tc>
          <w:tcPr>
            <w:tcW w:type="dxa" w:w="3168"/>
            <w:shd w:fill="F8FAFC"/>
            <w:tcMar>
              <w:top w:w="80" w:type="dxa"/>
              <w:bottom w:w="80" w:type="dxa"/>
              <w:left w:w="120" w:type="dxa"/>
              <w:right w:w="120" w:type="dxa"/>
            </w:tcMar>
          </w:tcPr>
          <w:p>
            <w:r>
              <w:rPr>
                <w:b/>
                <w:color w:val="0F5132"/>
                <w:sz w:val="19"/>
              </w:rPr>
              <w:t>Phase &amp; Scope</w:t>
            </w:r>
          </w:p>
        </w:tc>
        <w:tc>
          <w:tcPr>
            <w:tcW w:type="dxa" w:w="6192"/>
            <w:shd w:fill="FFFFFF"/>
            <w:tcMar>
              <w:top w:w="80" w:type="dxa"/>
              <w:bottom w:w="80" w:type="dxa"/>
              <w:left w:w="120" w:type="dxa"/>
              <w:right w:w="120" w:type="dxa"/>
            </w:tcMar>
          </w:tcPr>
          <w:p>
            <w:r>
              <w:rPr>
                <w:color w:val="1E293B"/>
                <w:sz w:val="19"/>
              </w:rPr>
              <w:t>Phase 1: Dataset Forensic Audit, DSU Leakage Elimination, MobileNetV2 Baseline &amp; Full-Stack Deployment</w:t>
            </w:r>
          </w:p>
        </w:tc>
      </w:tr>
      <w:tr>
        <w:tc>
          <w:tcPr>
            <w:tcW w:type="dxa" w:w="3168"/>
            <w:shd w:fill="F8FAFC"/>
            <w:tcMar>
              <w:top w:w="80" w:type="dxa"/>
              <w:bottom w:w="80" w:type="dxa"/>
              <w:left w:w="120" w:type="dxa"/>
              <w:right w:w="120" w:type="dxa"/>
            </w:tcMar>
          </w:tcPr>
          <w:p>
            <w:r>
              <w:rPr>
                <w:b/>
                <w:color w:val="0F5132"/>
                <w:sz w:val="19"/>
              </w:rPr>
              <w:t>Model Benchmark</w:t>
            </w:r>
          </w:p>
        </w:tc>
        <w:tc>
          <w:tcPr>
            <w:tcW w:type="dxa" w:w="6192"/>
            <w:shd w:fill="FFFFFF"/>
            <w:tcMar>
              <w:top w:w="80" w:type="dxa"/>
              <w:bottom w:w="80" w:type="dxa"/>
              <w:left w:w="120" w:type="dxa"/>
              <w:right w:w="120" w:type="dxa"/>
            </w:tcMar>
          </w:tcPr>
          <w:p>
            <w:r>
              <w:rPr>
                <w:color w:val="1E293B"/>
                <w:sz w:val="19"/>
              </w:rPr>
              <w:t>MobileNetV2 Transfer Learning — 89.90% Accuracy, 0.8741 Macro-F1 on Untouched Test Leaves</w:t>
            </w:r>
          </w:p>
        </w:tc>
      </w:tr>
      <w:tr>
        <w:tc>
          <w:tcPr>
            <w:tcW w:type="dxa" w:w="3168"/>
            <w:shd w:fill="F8FAFC"/>
            <w:tcMar>
              <w:top w:w="80" w:type="dxa"/>
              <w:bottom w:w="80" w:type="dxa"/>
              <w:left w:w="120" w:type="dxa"/>
              <w:right w:w="120" w:type="dxa"/>
            </w:tcMar>
          </w:tcPr>
          <w:p>
            <w:r>
              <w:rPr>
                <w:b/>
                <w:color w:val="0F5132"/>
                <w:sz w:val="19"/>
              </w:rPr>
              <w:t>Software Architecture</w:t>
            </w:r>
          </w:p>
        </w:tc>
        <w:tc>
          <w:tcPr>
            <w:tcW w:type="dxa" w:w="6192"/>
            <w:shd w:fill="FFFFFF"/>
            <w:tcMar>
              <w:top w:w="80" w:type="dxa"/>
              <w:bottom w:w="80" w:type="dxa"/>
              <w:left w:w="120" w:type="dxa"/>
              <w:right w:w="120" w:type="dxa"/>
            </w:tcMar>
          </w:tcPr>
          <w:p>
            <w:r>
              <w:rPr>
                <w:color w:val="1E293B"/>
                <w:sz w:val="19"/>
              </w:rPr>
              <w:t>FastAPI Asynchronous REST Microservices, PyTorch In-Memory Inference, React 18 / Vite / Leaflet GIS</w:t>
            </w:r>
          </w:p>
        </w:tc>
      </w:tr>
      <w:tr>
        <w:tc>
          <w:tcPr>
            <w:tcW w:type="dxa" w:w="3168"/>
            <w:shd w:fill="F8FAFC"/>
            <w:tcMar>
              <w:top w:w="80" w:type="dxa"/>
              <w:bottom w:w="80" w:type="dxa"/>
              <w:left w:w="120" w:type="dxa"/>
              <w:right w:w="120" w:type="dxa"/>
            </w:tcMar>
          </w:tcPr>
          <w:p>
            <w:r>
              <w:rPr>
                <w:b/>
                <w:color w:val="0F5132"/>
                <w:sz w:val="19"/>
              </w:rPr>
              <w:t>Date of Publication</w:t>
            </w:r>
          </w:p>
        </w:tc>
        <w:tc>
          <w:tcPr>
            <w:tcW w:type="dxa" w:w="6192"/>
            <w:shd w:fill="FFFFFF"/>
            <w:tcMar>
              <w:top w:w="80" w:type="dxa"/>
              <w:bottom w:w="80" w:type="dxa"/>
              <w:left w:w="120" w:type="dxa"/>
              <w:right w:w="120" w:type="dxa"/>
            </w:tcMar>
          </w:tcPr>
          <w:p>
            <w:r>
              <w:rPr>
                <w:color w:val="1E293B"/>
                <w:sz w:val="19"/>
              </w:rPr>
              <w:t>October 2026 • Academic Year 2026-2027</w:t>
            </w:r>
          </w:p>
        </w:tc>
      </w:tr>
    </w:tbl>
    <w:p>
      <w:r>
        <w:br w:type="page"/>
      </w:r>
    </w:p>
    <w:p>
      <w:pPr>
        <w:keepNext/>
        <w:spacing w:before="400" w:after="160"/>
      </w:pPr>
      <w:r>
        <w:rPr>
          <w:rFonts w:ascii="Segoe UI" w:hAnsi="Segoe UI"/>
          <w:b/>
          <w:color w:val="0F5132"/>
          <w:sz w:val="32"/>
        </w:rPr>
        <w:t>Executive Summary</w:t>
      </w:r>
    </w:p>
    <w:p>
      <w:r>
        <w:t>Cotton (Gossypium hirsutum) serves as the primary cash crop and economic backbone of North Maharashtra's Khandesh region, with Dhule district representing over 1,87,000 hectares (1.87 L Ha) under intensive cultivation. Despite its commercial prominence as 'पांढरे सोने' (White Gold), smallholder farmers in Dhule routinely suffer catastrophic crop losses exceeding 30% to 45% annually due to destructive foliar pathogens (Bacterial Blight, Alternaria Leaf Spot, Powdery Mildew, Fusarium Wilt, Target Spot) and sucking insect pests (Aphids, Armyworm). Furthermore, contemporary academic computer vision research suffers from a critical flaw: over 70% of published plant pathology studies fail to account for data leakage caused by pre-augmented web image archives, creating models that memorize image artifacts rather than pathological features and utterly fail when deployed under Indian field conditions.</w:t>
      </w:r>
    </w:p>
    <w:p>
      <w:r>
        <w:t>This project presents an end-to-end, scientifically validated, and production-operational agro-intelligence ecosystem engineered specifically for the smallholder farmers of Dhule district. The primary contributions of this project encompass:</w:t>
      </w:r>
    </w:p>
    <w:p>
      <w:pPr>
        <w:pStyle w:val="ListBullet"/>
        <w:spacing w:after="80" w:line="276" w:lineRule="auto"/>
      </w:pPr>
      <w:r>
        <w:rPr>
          <w:rFonts w:ascii="Segoe UI" w:hAnsi="Segoe UI"/>
          <w:b/>
          <w:color w:val="0F5132"/>
        </w:rPr>
        <w:t xml:space="preserve">1. Forensic Cryptographic Audit &amp; DSU Leaf Clustering: </w:t>
      </w:r>
      <w:r>
        <w:rPr>
          <w:rFonts w:ascii="Segoe UI" w:hAnsi="Segoe UI"/>
          <w:color w:val="1E293B"/>
        </w:rPr>
        <w:t>Audited 14,955 raw dataset images with MD5 hashing. Identified and eliminated 4 OS metadata files (.DS_Store) and 14 cross-class conflicting hashes. Formulated a Disjoint Set Union (DSU) clustering algorithm that grouped derived pre-augmented variants into 5,852 strictly isolated physical leaf clusters, guaranteeing absolute zero cross-split leakage (|Train ∩ Test| = 0).</w:t>
      </w:r>
    </w:p>
    <w:p>
      <w:pPr>
        <w:pStyle w:val="ListBullet"/>
        <w:spacing w:after="80" w:line="276" w:lineRule="auto"/>
      </w:pPr>
      <w:r>
        <w:rPr>
          <w:rFonts w:ascii="Segoe UI" w:hAnsi="Segoe UI"/>
          <w:b/>
          <w:color w:val="0F5132"/>
        </w:rPr>
        <w:t xml:space="preserve">2. MobileNetV2 Transfer Learning Baseline: </w:t>
      </w:r>
      <w:r>
        <w:rPr>
          <w:rFonts w:ascii="Segoe UI" w:hAnsi="Segoe UI"/>
          <w:color w:val="1E293B"/>
        </w:rPr>
        <w:t>Trained a lightweight deep convolutional neural network (~3.5M parameters, ~45ms inference latency) with ImageNet pretrained representations, frozen backbone layers, and inverse frequency class weighting. Evaluated against 871 strictly untouched, unaugmented test leaves, achieving an Overall Accuracy of 89.90%, a Macro F1-Score of 0.8741, and a Weighted F1-Score of 0.8966 across 9 foliar disease categories.</w:t>
      </w:r>
    </w:p>
    <w:p>
      <w:pPr>
        <w:pStyle w:val="ListBullet"/>
        <w:spacing w:after="80" w:line="276" w:lineRule="auto"/>
      </w:pPr>
      <w:r>
        <w:rPr>
          <w:rFonts w:ascii="Segoe UI" w:hAnsi="Segoe UI"/>
          <w:b/>
          <w:color w:val="0F5132"/>
        </w:rPr>
        <w:t xml:space="preserve">3. Remote Sensing, Digital Soil Mapping &amp; GIS Suitability: </w:t>
      </w:r>
      <w:r>
        <w:rPr>
          <w:rFonts w:ascii="Segoe UI" w:hAnsi="Segoe UI"/>
          <w:color w:val="1E293B"/>
        </w:rPr>
        <w:t>Integrated multi-layer Google Maps (Road, Satellite Farmland, Terrain) with georeferenced bounding boxes covering all four talukas of Dhule (Dhule, Shirpur, Sindkheda, Sakri). Integrated the ISRIC SoilGrids REST API with ICAR-NBSS&amp;LUP Vertisol baselines (&gt;50% clay fraction, pH 8.1) and Open-Meteo satellite-interpolated weather feeds to compute Weighted Linear Combination (WLC) suitability indices in real time.</w:t>
      </w:r>
    </w:p>
    <w:p>
      <w:pPr>
        <w:pStyle w:val="ListBullet"/>
        <w:spacing w:after="80" w:line="276" w:lineRule="auto"/>
      </w:pPr>
      <w:r>
        <w:rPr>
          <w:rFonts w:ascii="Segoe UI" w:hAnsi="Segoe UI"/>
          <w:b/>
          <w:color w:val="0F5132"/>
        </w:rPr>
        <w:t xml:space="preserve">4. Mandi Market Intelligence &amp; Economic Advisory: </w:t>
      </w:r>
      <w:r>
        <w:rPr>
          <w:rFonts w:ascii="Segoe UI" w:hAnsi="Segoe UI"/>
          <w:color w:val="1E293B"/>
        </w:rPr>
        <w:t>Coupled disease diagnostics with real-time APMC auction rates (Dhule, Shirpur, Jalgaon, Akola, Malegaon, Chopda) and Cotton Corporation of India (CCI) Minimum Support Price (MSP) benchmarks, providing farmers with moisture management guidance (&lt;8% moisture premium) to arrest distress selling.</w:t>
      </w:r>
    </w:p>
    <w:p>
      <w:pPr>
        <w:pStyle w:val="ListBullet"/>
        <w:spacing w:after="80" w:line="276" w:lineRule="auto"/>
      </w:pPr>
      <w:r>
        <w:rPr>
          <w:rFonts w:ascii="Segoe UI" w:hAnsi="Segoe UI"/>
          <w:b/>
          <w:color w:val="0F5132"/>
        </w:rPr>
        <w:t xml:space="preserve">5. Operational Full-Stack Platform: </w:t>
      </w:r>
      <w:r>
        <w:rPr>
          <w:rFonts w:ascii="Segoe UI" w:hAnsi="Segoe UI"/>
          <w:color w:val="1E293B"/>
        </w:rPr>
        <w:t>Deployed an asynchronous FastAPI backend paired with a modern React 18 / Vite / Leaflet GIS single-page web application offering bilingual Marathi (मराठी) and English interfaces for native regional accessibility.</w:t>
      </w:r>
    </w:p>
    <w:p>
      <w:pPr>
        <w:keepNext/>
        <w:spacing w:before="400" w:after="160"/>
      </w:pPr>
      <w:r>
        <w:rPr>
          <w:rFonts w:ascii="Segoe UI" w:hAnsi="Segoe UI"/>
          <w:b/>
          <w:color w:val="0F5132"/>
          <w:sz w:val="32"/>
        </w:rPr>
        <w:t>Chapter 1: Regional Agro-Climatic &amp; Edaphic Profile of Dhule District</w:t>
      </w:r>
    </w:p>
    <w:p>
      <w:r>
        <w:t>Dhule district is situated in the northwestern corner of Maharashtra within the Khandesh agro-climatic zone. Geographically bounded between latitudes 20.60°N to 21.65°N and longitudes 73.78°E to 75.25°E, the district is drained by the Tapi and Panzara river systems. The agrarian economy is almost entirely anchored in cotton farming, which occupies over 1.87 Lakh Hectares during the Kharif season across four administrative talukas: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5132"/>
            <w:tcMar>
              <w:top w:w="140" w:type="dxa"/>
              <w:bottom w:w="140" w:type="dxa"/>
              <w:left w:w="160" w:type="dxa"/>
              <w:right w:w="160" w:type="dxa"/>
            </w:tcMar>
            <w:vAlign w:val="center"/>
          </w:tcPr>
          <w:p>
            <w:pPr>
              <w:jc w:val="left"/>
            </w:pPr>
            <w:r>
              <w:t>Taluka</w:t>
            </w:r>
          </w:p>
        </w:tc>
        <w:tc>
          <w:tcPr>
            <w:tcW w:type="dxa" w:w="1728"/>
            <w:shd w:fill="0F5132"/>
            <w:tcMar>
              <w:top w:w="140" w:type="dxa"/>
              <w:bottom w:w="140" w:type="dxa"/>
              <w:left w:w="160" w:type="dxa"/>
              <w:right w:w="160" w:type="dxa"/>
            </w:tcMar>
            <w:vAlign w:val="center"/>
          </w:tcPr>
          <w:p>
            <w:pPr>
              <w:jc w:val="left"/>
            </w:pPr>
            <w:r>
              <w:t>Local Name</w:t>
            </w:r>
          </w:p>
        </w:tc>
        <w:tc>
          <w:tcPr>
            <w:tcW w:type="dxa" w:w="1872"/>
            <w:shd w:fill="0F5132"/>
            <w:tcMar>
              <w:top w:w="140" w:type="dxa"/>
              <w:bottom w:w="140" w:type="dxa"/>
              <w:left w:w="160" w:type="dxa"/>
              <w:right w:w="160" w:type="dxa"/>
            </w:tcMar>
            <w:vAlign w:val="center"/>
          </w:tcPr>
          <w:p>
            <w:pPr>
              <w:jc w:val="left"/>
            </w:pPr>
            <w:r>
              <w:t>Geographic Area</w:t>
            </w:r>
          </w:p>
        </w:tc>
        <w:tc>
          <w:tcPr>
            <w:tcW w:type="dxa" w:w="2016"/>
            <w:shd w:fill="0F5132"/>
            <w:tcMar>
              <w:top w:w="140" w:type="dxa"/>
              <w:bottom w:w="140" w:type="dxa"/>
              <w:left w:w="160" w:type="dxa"/>
              <w:right w:w="160" w:type="dxa"/>
            </w:tcMar>
            <w:vAlign w:val="center"/>
          </w:tcPr>
          <w:p>
            <w:pPr>
              <w:jc w:val="left"/>
            </w:pPr>
            <w:r>
              <w:t>Dominant Soil Type</w:t>
            </w:r>
          </w:p>
        </w:tc>
        <w:tc>
          <w:tcPr>
            <w:tcW w:type="dxa" w:w="2016"/>
            <w:shd w:fill="0F5132"/>
            <w:tcMar>
              <w:top w:w="140" w:type="dxa"/>
              <w:bottom w:w="140" w:type="dxa"/>
              <w:left w:w="160" w:type="dxa"/>
              <w:right w:w="160" w:type="dxa"/>
            </w:tcMar>
            <w:vAlign w:val="center"/>
          </w:tcPr>
          <w:p>
            <w:pPr>
              <w:jc w:val="left"/>
            </w:pPr>
            <w:r>
              <w:t>Cotton Cultivar Focus</w:t>
            </w:r>
          </w:p>
        </w:tc>
      </w:tr>
      <w:tr>
        <w:tc>
          <w:tcPr>
            <w:tcW w:type="dxa" w:w="1728"/>
            <w:shd w:fill="FFFFFF"/>
            <w:tcMar>
              <w:top w:w="100" w:type="dxa"/>
              <w:bottom w:w="100" w:type="dxa"/>
              <w:left w:w="160" w:type="dxa"/>
              <w:right w:w="160" w:type="dxa"/>
            </w:tcMar>
            <w:vAlign w:val="center"/>
          </w:tcPr>
          <w:p>
            <w:r>
              <w:rPr>
                <w:rFonts w:ascii="Segoe UI" w:hAnsi="Segoe UI"/>
                <w:color w:val="1E293B"/>
                <w:sz w:val="18"/>
              </w:rPr>
              <w:t>Dhule</w:t>
            </w:r>
          </w:p>
        </w:tc>
        <w:tc>
          <w:tcPr>
            <w:tcW w:type="dxa" w:w="1728"/>
            <w:shd w:fill="FFFFFF"/>
            <w:tcMar>
              <w:top w:w="100" w:type="dxa"/>
              <w:bottom w:w="100" w:type="dxa"/>
              <w:left w:w="160" w:type="dxa"/>
              <w:right w:w="160" w:type="dxa"/>
            </w:tcMar>
            <w:vAlign w:val="center"/>
          </w:tcPr>
          <w:p>
            <w:r>
              <w:rPr>
                <w:rFonts w:ascii="Segoe UI" w:hAnsi="Segoe UI"/>
                <w:color w:val="1E293B"/>
                <w:sz w:val="18"/>
              </w:rPr>
              <w:t>धुळे</w:t>
            </w:r>
          </w:p>
        </w:tc>
        <w:tc>
          <w:tcPr>
            <w:tcW w:type="dxa" w:w="1872"/>
            <w:shd w:fill="FFFFFF"/>
            <w:tcMar>
              <w:top w:w="100" w:type="dxa"/>
              <w:bottom w:w="100" w:type="dxa"/>
              <w:left w:w="160" w:type="dxa"/>
              <w:right w:w="160" w:type="dxa"/>
            </w:tcMar>
            <w:vAlign w:val="center"/>
          </w:tcPr>
          <w:p>
            <w:r>
              <w:rPr>
                <w:rFonts w:ascii="Segoe UI" w:hAnsi="Segoe UI"/>
                <w:color w:val="1E293B"/>
                <w:sz w:val="18"/>
              </w:rPr>
              <w:t>1,874 sq km</w:t>
            </w:r>
          </w:p>
        </w:tc>
        <w:tc>
          <w:tcPr>
            <w:tcW w:type="dxa" w:w="2016"/>
            <w:shd w:fill="FFFFFF"/>
            <w:tcMar>
              <w:top w:w="100" w:type="dxa"/>
              <w:bottom w:w="100" w:type="dxa"/>
              <w:left w:w="160" w:type="dxa"/>
              <w:right w:w="160" w:type="dxa"/>
            </w:tcMar>
            <w:vAlign w:val="center"/>
          </w:tcPr>
          <w:p>
            <w:r>
              <w:rPr>
                <w:rFonts w:ascii="Segoe UI" w:hAnsi="Segoe UI"/>
                <w:color w:val="1E293B"/>
                <w:sz w:val="18"/>
              </w:rPr>
              <w:t>Prime Deep Black Soil (Vertisol)</w:t>
            </w:r>
          </w:p>
        </w:tc>
        <w:tc>
          <w:tcPr>
            <w:tcW w:type="dxa" w:w="2016"/>
            <w:shd w:fill="FFFFFF"/>
            <w:tcMar>
              <w:top w:w="100" w:type="dxa"/>
              <w:bottom w:w="100" w:type="dxa"/>
              <w:left w:w="160" w:type="dxa"/>
              <w:right w:w="160" w:type="dxa"/>
            </w:tcMar>
            <w:vAlign w:val="center"/>
          </w:tcPr>
          <w:p>
            <w:r>
              <w:rPr>
                <w:rFonts w:ascii="Segoe UI" w:hAnsi="Segoe UI"/>
                <w:color w:val="1E293B"/>
                <w:sz w:val="18"/>
              </w:rPr>
              <w:t>Bt Hybrid, Long Staple (RCH-2)</w:t>
            </w:r>
          </w:p>
        </w:tc>
      </w:tr>
      <w:tr>
        <w:tc>
          <w:tcPr>
            <w:tcW w:type="dxa" w:w="1728"/>
            <w:shd w:fill="F0FDF4"/>
            <w:tcMar>
              <w:top w:w="100" w:type="dxa"/>
              <w:bottom w:w="100" w:type="dxa"/>
              <w:left w:w="160" w:type="dxa"/>
              <w:right w:w="160" w:type="dxa"/>
            </w:tcMar>
            <w:vAlign w:val="center"/>
          </w:tcPr>
          <w:p>
            <w:r>
              <w:rPr>
                <w:rFonts w:ascii="Segoe UI" w:hAnsi="Segoe UI"/>
                <w:color w:val="1E293B"/>
                <w:sz w:val="18"/>
              </w:rPr>
              <w:t>Shirpur</w:t>
            </w:r>
          </w:p>
        </w:tc>
        <w:tc>
          <w:tcPr>
            <w:tcW w:type="dxa" w:w="1728"/>
            <w:shd w:fill="F0FDF4"/>
            <w:tcMar>
              <w:top w:w="100" w:type="dxa"/>
              <w:bottom w:w="100" w:type="dxa"/>
              <w:left w:w="160" w:type="dxa"/>
              <w:right w:w="160" w:type="dxa"/>
            </w:tcMar>
            <w:vAlign w:val="center"/>
          </w:tcPr>
          <w:p>
            <w:r>
              <w:rPr>
                <w:rFonts w:ascii="Segoe UI" w:hAnsi="Segoe UI"/>
                <w:color w:val="1E293B"/>
                <w:sz w:val="18"/>
              </w:rPr>
              <w:t>शिरपूर</w:t>
            </w:r>
          </w:p>
        </w:tc>
        <w:tc>
          <w:tcPr>
            <w:tcW w:type="dxa" w:w="1872"/>
            <w:shd w:fill="F0FDF4"/>
            <w:tcMar>
              <w:top w:w="100" w:type="dxa"/>
              <w:bottom w:w="100" w:type="dxa"/>
              <w:left w:w="160" w:type="dxa"/>
              <w:right w:w="160" w:type="dxa"/>
            </w:tcMar>
            <w:vAlign w:val="center"/>
          </w:tcPr>
          <w:p>
            <w:r>
              <w:rPr>
                <w:rFonts w:ascii="Segoe UI" w:hAnsi="Segoe UI"/>
                <w:color w:val="1E293B"/>
                <w:sz w:val="18"/>
              </w:rPr>
              <w:t>1,692 sq km</w:t>
            </w:r>
          </w:p>
        </w:tc>
        <w:tc>
          <w:tcPr>
            <w:tcW w:type="dxa" w:w="2016"/>
            <w:shd w:fill="F0FDF4"/>
            <w:tcMar>
              <w:top w:w="100" w:type="dxa"/>
              <w:bottom w:w="100" w:type="dxa"/>
              <w:left w:w="160" w:type="dxa"/>
              <w:right w:w="160" w:type="dxa"/>
            </w:tcMar>
            <w:vAlign w:val="center"/>
          </w:tcPr>
          <w:p>
            <w:r>
              <w:rPr>
                <w:rFonts w:ascii="Segoe UI" w:hAnsi="Segoe UI"/>
                <w:color w:val="1E293B"/>
                <w:sz w:val="18"/>
              </w:rPr>
              <w:t>Tapi Basin Fertile Alluvium</w:t>
            </w:r>
          </w:p>
        </w:tc>
        <w:tc>
          <w:tcPr>
            <w:tcW w:type="dxa" w:w="2016"/>
            <w:shd w:fill="F0FDF4"/>
            <w:tcMar>
              <w:top w:w="100" w:type="dxa"/>
              <w:bottom w:w="100" w:type="dxa"/>
              <w:left w:w="160" w:type="dxa"/>
              <w:right w:w="160" w:type="dxa"/>
            </w:tcMar>
            <w:vAlign w:val="center"/>
          </w:tcPr>
          <w:p>
            <w:r>
              <w:rPr>
                <w:rFonts w:ascii="Segoe UI" w:hAnsi="Segoe UI"/>
                <w:color w:val="1E293B"/>
                <w:sz w:val="18"/>
              </w:rPr>
              <w:t>Sankar Bt Cotton, Irrigated</w:t>
            </w:r>
          </w:p>
        </w:tc>
      </w:tr>
      <w:tr>
        <w:tc>
          <w:tcPr>
            <w:tcW w:type="dxa" w:w="1728"/>
            <w:shd w:fill="FFFFFF"/>
            <w:tcMar>
              <w:top w:w="100" w:type="dxa"/>
              <w:bottom w:w="100" w:type="dxa"/>
              <w:left w:w="160" w:type="dxa"/>
              <w:right w:w="160" w:type="dxa"/>
            </w:tcMar>
            <w:vAlign w:val="center"/>
          </w:tcPr>
          <w:p>
            <w:r>
              <w:rPr>
                <w:rFonts w:ascii="Segoe UI" w:hAnsi="Segoe UI"/>
                <w:color w:val="1E293B"/>
                <w:sz w:val="18"/>
              </w:rPr>
              <w:t>Sindkheda</w:t>
            </w:r>
          </w:p>
        </w:tc>
        <w:tc>
          <w:tcPr>
            <w:tcW w:type="dxa" w:w="1728"/>
            <w:shd w:fill="FFFFFF"/>
            <w:tcMar>
              <w:top w:w="100" w:type="dxa"/>
              <w:bottom w:w="100" w:type="dxa"/>
              <w:left w:w="160" w:type="dxa"/>
              <w:right w:w="160" w:type="dxa"/>
            </w:tcMar>
            <w:vAlign w:val="center"/>
          </w:tcPr>
          <w:p>
            <w:r>
              <w:rPr>
                <w:rFonts w:ascii="Segoe UI" w:hAnsi="Segoe UI"/>
                <w:color w:val="1E293B"/>
                <w:sz w:val="18"/>
              </w:rPr>
              <w:t>शिंदखेडा</w:t>
            </w:r>
          </w:p>
        </w:tc>
        <w:tc>
          <w:tcPr>
            <w:tcW w:type="dxa" w:w="1872"/>
            <w:shd w:fill="FFFFFF"/>
            <w:tcMar>
              <w:top w:w="100" w:type="dxa"/>
              <w:bottom w:w="100" w:type="dxa"/>
              <w:left w:w="160" w:type="dxa"/>
              <w:right w:w="160" w:type="dxa"/>
            </w:tcMar>
            <w:vAlign w:val="center"/>
          </w:tcPr>
          <w:p>
            <w:r>
              <w:rPr>
                <w:rFonts w:ascii="Segoe UI" w:hAnsi="Segoe UI"/>
                <w:color w:val="1E293B"/>
                <w:sz w:val="18"/>
              </w:rPr>
              <w:t>1,562 sq km</w:t>
            </w:r>
          </w:p>
        </w:tc>
        <w:tc>
          <w:tcPr>
            <w:tcW w:type="dxa" w:w="2016"/>
            <w:shd w:fill="FFFFFF"/>
            <w:tcMar>
              <w:top w:w="100" w:type="dxa"/>
              <w:bottom w:w="100" w:type="dxa"/>
              <w:left w:w="160" w:type="dxa"/>
              <w:right w:w="160" w:type="dxa"/>
            </w:tcMar>
            <w:vAlign w:val="center"/>
          </w:tcPr>
          <w:p>
            <w:r>
              <w:rPr>
                <w:rFonts w:ascii="Segoe UI" w:hAnsi="Segoe UI"/>
                <w:color w:val="1E293B"/>
                <w:sz w:val="18"/>
              </w:rPr>
              <w:t>Medium-Heavy Alluvial Clay</w:t>
            </w:r>
          </w:p>
        </w:tc>
        <w:tc>
          <w:tcPr>
            <w:tcW w:type="dxa" w:w="2016"/>
            <w:shd w:fill="FFFFFF"/>
            <w:tcMar>
              <w:top w:w="100" w:type="dxa"/>
              <w:bottom w:w="100" w:type="dxa"/>
              <w:left w:w="160" w:type="dxa"/>
              <w:right w:w="160" w:type="dxa"/>
            </w:tcMar>
            <w:vAlign w:val="center"/>
          </w:tcPr>
          <w:p>
            <w:r>
              <w:rPr>
                <w:rFonts w:ascii="Segoe UI" w:hAnsi="Segoe UI"/>
                <w:color w:val="1E293B"/>
                <w:sz w:val="18"/>
              </w:rPr>
              <w:t>Bt Hybrid, Drip Fertigated</w:t>
            </w:r>
          </w:p>
        </w:tc>
      </w:tr>
      <w:tr>
        <w:tc>
          <w:tcPr>
            <w:tcW w:type="dxa" w:w="1728"/>
            <w:shd w:fill="F0FDF4"/>
            <w:tcMar>
              <w:top w:w="100" w:type="dxa"/>
              <w:bottom w:w="100" w:type="dxa"/>
              <w:left w:w="160" w:type="dxa"/>
              <w:right w:w="160" w:type="dxa"/>
            </w:tcMar>
            <w:vAlign w:val="center"/>
          </w:tcPr>
          <w:p>
            <w:r>
              <w:rPr>
                <w:rFonts w:ascii="Segoe UI" w:hAnsi="Segoe UI"/>
                <w:color w:val="1E293B"/>
                <w:sz w:val="18"/>
              </w:rPr>
              <w:t>Sakri</w:t>
            </w:r>
          </w:p>
        </w:tc>
        <w:tc>
          <w:tcPr>
            <w:tcW w:type="dxa" w:w="1728"/>
            <w:shd w:fill="F0FDF4"/>
            <w:tcMar>
              <w:top w:w="100" w:type="dxa"/>
              <w:bottom w:w="100" w:type="dxa"/>
              <w:left w:w="160" w:type="dxa"/>
              <w:right w:w="160" w:type="dxa"/>
            </w:tcMar>
            <w:vAlign w:val="center"/>
          </w:tcPr>
          <w:p>
            <w:r>
              <w:rPr>
                <w:rFonts w:ascii="Segoe UI" w:hAnsi="Segoe UI"/>
                <w:color w:val="1E293B"/>
                <w:sz w:val="18"/>
              </w:rPr>
              <w:t>साक्री</w:t>
            </w:r>
          </w:p>
        </w:tc>
        <w:tc>
          <w:tcPr>
            <w:tcW w:type="dxa" w:w="1872"/>
            <w:shd w:fill="F0FDF4"/>
            <w:tcMar>
              <w:top w:w="100" w:type="dxa"/>
              <w:bottom w:w="100" w:type="dxa"/>
              <w:left w:w="160" w:type="dxa"/>
              <w:right w:w="160" w:type="dxa"/>
            </w:tcMar>
            <w:vAlign w:val="center"/>
          </w:tcPr>
          <w:p>
            <w:r>
              <w:rPr>
                <w:rFonts w:ascii="Segoe UI" w:hAnsi="Segoe UI"/>
                <w:color w:val="1E293B"/>
                <w:sz w:val="18"/>
              </w:rPr>
              <w:t>2,007 sq km</w:t>
            </w:r>
          </w:p>
        </w:tc>
        <w:tc>
          <w:tcPr>
            <w:tcW w:type="dxa" w:w="2016"/>
            <w:shd w:fill="F0FDF4"/>
            <w:tcMar>
              <w:top w:w="100" w:type="dxa"/>
              <w:bottom w:w="100" w:type="dxa"/>
              <w:left w:w="160" w:type="dxa"/>
              <w:right w:w="160" w:type="dxa"/>
            </w:tcMar>
            <w:vAlign w:val="center"/>
          </w:tcPr>
          <w:p>
            <w:r>
              <w:rPr>
                <w:rFonts w:ascii="Segoe UI" w:hAnsi="Segoe UI"/>
                <w:color w:val="1E293B"/>
                <w:sz w:val="18"/>
              </w:rPr>
              <w:t>Rainfed Black-Loam &amp; Undulating</w:t>
            </w:r>
          </w:p>
        </w:tc>
        <w:tc>
          <w:tcPr>
            <w:tcW w:type="dxa" w:w="2016"/>
            <w:shd w:fill="F0FDF4"/>
            <w:tcMar>
              <w:top w:w="100" w:type="dxa"/>
              <w:bottom w:w="100" w:type="dxa"/>
              <w:left w:w="160" w:type="dxa"/>
              <w:right w:w="160" w:type="dxa"/>
            </w:tcMar>
            <w:vAlign w:val="center"/>
          </w:tcPr>
          <w:p>
            <w:r>
              <w:rPr>
                <w:rFonts w:ascii="Segoe UI" w:hAnsi="Segoe UI"/>
                <w:color w:val="1E293B"/>
                <w:sz w:val="18"/>
              </w:rPr>
              <w:t>Desi (Short Staple) &amp; Hardy Bt</w:t>
            </w:r>
          </w:p>
        </w:tc>
      </w:tr>
    </w:tbl>
    <w:p>
      <w:pPr>
        <w:spacing w:after="80"/>
      </w:pPr>
    </w:p>
    <w:p>
      <w:pPr>
        <w:keepNext/>
        <w:spacing w:before="280" w:after="120"/>
      </w:pPr>
      <w:r>
        <w:rPr>
          <w:rFonts w:ascii="Segoe UI" w:hAnsi="Segoe UI"/>
          <w:b/>
          <w:color w:val="198754"/>
          <w:sz w:val="26"/>
        </w:rPr>
        <w:t>1.1 Edaphic Characteristics: Vertisols (Black Cotton Soils / Regur)</w:t>
      </w:r>
    </w:p>
    <w:p>
      <w:r>
        <w:t>The soils of Dhule district are fundamentally classified under the Vertisol soil order (Typic/Vertic Chromusterts). Derived from the subaerial weathering of Deccan basaltic trap rocks, these soils are regionally known as 'Regur' or Black Cotton Soil. Edaphic analysis established by ICAR-NBSS&amp;LUP soil resource mapping reveals:</w:t>
      </w:r>
    </w:p>
    <w:p>
      <w:pPr>
        <w:pStyle w:val="ListBullet"/>
        <w:spacing w:after="80" w:line="276" w:lineRule="auto"/>
      </w:pPr>
      <w:r>
        <w:rPr>
          <w:rFonts w:ascii="Segoe UI" w:hAnsi="Segoe UI"/>
          <w:b/>
          <w:color w:val="0F5132"/>
        </w:rPr>
        <w:t xml:space="preserve">High Montmorillonite Clay Fraction: </w:t>
      </w:r>
      <w:r>
        <w:rPr>
          <w:rFonts w:ascii="Segoe UI" w:hAnsi="Segoe UI"/>
          <w:color w:val="1E293B"/>
        </w:rPr>
        <w:t>Clay contents routinely exceed 50% to 55% in topsoil intervals (0–15 cm). Montmorillonite mineralogy imparts exceptional water-holding capacity, enabling crops to survive 15–20 day mid-season dry spells.</w:t>
      </w:r>
    </w:p>
    <w:p>
      <w:pPr>
        <w:pStyle w:val="ListBullet"/>
        <w:spacing w:after="80" w:line="276" w:lineRule="auto"/>
      </w:pPr>
      <w:r>
        <w:rPr>
          <w:rFonts w:ascii="Segoe UI" w:hAnsi="Segoe UI"/>
          <w:b/>
          <w:color w:val="0F5132"/>
        </w:rPr>
        <w:t xml:space="preserve">Swell-Shrink Dynamic &amp; Deep Cracking: </w:t>
      </w:r>
      <w:r>
        <w:rPr>
          <w:rFonts w:ascii="Segoe UI" w:hAnsi="Segoe UI"/>
          <w:color w:val="1E293B"/>
        </w:rPr>
        <w:t>During prolonged dry spells, Vertisols shrink and develop wide, deep vertical fissures (up to 40–60 cm depth). While facilitating deep aeration upon first rain, subsequent torrential rainfall causes swelling and severe compaction.</w:t>
      </w:r>
    </w:p>
    <w:p>
      <w:pPr>
        <w:pStyle w:val="ListBullet"/>
        <w:spacing w:after="80" w:line="276" w:lineRule="auto"/>
      </w:pPr>
      <w:r>
        <w:rPr>
          <w:rFonts w:ascii="Segoe UI" w:hAnsi="Segoe UI"/>
          <w:b/>
          <w:color w:val="0F5132"/>
        </w:rPr>
        <w:t xml:space="preserve">Poor Internal Subsoil Drainage: </w:t>
      </w:r>
      <w:r>
        <w:rPr>
          <w:rFonts w:ascii="Segoe UI" w:hAnsi="Segoe UI"/>
          <w:color w:val="1E293B"/>
        </w:rPr>
        <w:t>Once saturated, the hydraulic conductivity of Vertisols drops drastically (&lt;0.5 cm/hr). Waterlogging during heavy monsoon depressions leads to root zone anaerobiosis, predisposing cotton to Fusarium wilt and damping off.</w:t>
      </w:r>
    </w:p>
    <w:p>
      <w:pPr>
        <w:pStyle w:val="ListBullet"/>
        <w:spacing w:after="80" w:line="276" w:lineRule="auto"/>
      </w:pPr>
      <w:r>
        <w:rPr>
          <w:rFonts w:ascii="Segoe UI" w:hAnsi="Segoe UI"/>
          <w:b/>
          <w:color w:val="0F5132"/>
        </w:rPr>
        <w:t xml:space="preserve">Alkaline Reaction: </w:t>
      </w:r>
      <w:r>
        <w:rPr>
          <w:rFonts w:ascii="Segoe UI" w:hAnsi="Segoe UI"/>
          <w:color w:val="1E293B"/>
        </w:rPr>
        <w:t>Soil pH ranges between 7.8 and 8.3 with high base saturation (&gt;85%). While calcium and magnesium are abundant, micronutrient bioavailability—specifically Zinc (Zn) and Iron (Fe)—is frequently constrained.</w:t>
      </w:r>
    </w:p>
    <w:p>
      <w:pPr>
        <w:keepNext/>
        <w:spacing w:before="280" w:after="120"/>
      </w:pPr>
      <w:r>
        <w:rPr>
          <w:rFonts w:ascii="Segoe UI" w:hAnsi="Segoe UI"/>
          <w:b/>
          <w:color w:val="198754"/>
          <w:sz w:val="26"/>
        </w:rPr>
        <w:t>1.2 Agro-Meteorological Regimes &amp; Climate Pressures</w:t>
      </w:r>
    </w:p>
    <w:p>
      <w:r>
        <w:t>Dhule experiences a semi-arid tropical monsoon climate with high average annual temperatures (26°C to 34°C) and an annual precipitation baseline of 650 mm to 750 mm, concentrated heavily within the June–September Kharif window. The crop life cycle progresses across five well-defined physiological phases: Sowing (June–July), Vegetative Growth (July–August), Squaring and Flowering (August–September), Boll Development (October–November), and Cotton Picking (November–January). October represents a climatically critical transition: ambient solar radiation peaks, and sudden post-monsoon humidity spikes exceeding 80% RH trigger massive fungal spore germination across dense crop canopies.</w:t>
      </w:r>
    </w:p>
    <w:p>
      <w:pPr>
        <w:keepNext/>
        <w:spacing w:before="400" w:after="160"/>
      </w:pPr>
      <w:r>
        <w:rPr>
          <w:rFonts w:ascii="Segoe UI" w:hAnsi="Segoe UI"/>
          <w:b/>
          <w:color w:val="0F5132"/>
          <w:sz w:val="32"/>
        </w:rPr>
        <w:t>Chapter 2: Problem Formulation &amp; The Academic AI Trap</w:t>
      </w:r>
    </w:p>
    <w:p>
      <w:pPr>
        <w:keepNext/>
        <w:spacing w:before="280" w:after="120"/>
      </w:pPr>
      <w:r>
        <w:rPr>
          <w:rFonts w:ascii="Segoe UI" w:hAnsi="Segoe UI"/>
          <w:b/>
          <w:color w:val="198754"/>
          <w:sz w:val="26"/>
        </w:rPr>
        <w:t>2.1 Smallholder Vulnerabilities in Cotton Pathology</w:t>
      </w:r>
    </w:p>
    <w:p>
      <w:r>
        <w:t>Foliar diseases represent the single largest biological hazard to cotton productivity in Maharashtra. Bacterial Blight (Xanthomonas citri pv. malvacearum), Alternaria Leaf Spot (Alternaria macrospora), Powdery Mildew (Leveillula taurica), and Target Spot (Corynespora cassiicola) systematically destroy photosynthetic leaf lamina, causing severe square and boll shedding. Simultaneously, sap-sucking pests like Cotton Aphids (Aphis gossypii) secrete sticky honeydew that fosters black sooty mold, preventing fiber maturation. Smallholder farmers face severe handicaps:</w:t>
      </w:r>
    </w:p>
    <w:p>
      <w:pPr>
        <w:pStyle w:val="ListBullet"/>
        <w:spacing w:after="80" w:line="276" w:lineRule="auto"/>
      </w:pPr>
      <w:r>
        <w:rPr>
          <w:rFonts w:ascii="Segoe UI" w:hAnsi="Segoe UI"/>
          <w:b/>
          <w:color w:val="0F5132"/>
        </w:rPr>
        <w:t xml:space="preserve">Delayed Retrospective Diagnostics: </w:t>
      </w:r>
      <w:r>
        <w:rPr>
          <w:rFonts w:ascii="Segoe UI" w:hAnsi="Segoe UI"/>
          <w:color w:val="1E293B"/>
        </w:rPr>
        <w:t>Farmers only recognize infections when necrotic lesions have already colonized &gt;20% of foliar area. Prophylactic opportunities are missed.</w:t>
      </w:r>
    </w:p>
    <w:p>
      <w:pPr>
        <w:pStyle w:val="ListBullet"/>
        <w:spacing w:after="80" w:line="276" w:lineRule="auto"/>
      </w:pPr>
      <w:r>
        <w:rPr>
          <w:rFonts w:ascii="Segoe UI" w:hAnsi="Segoe UI"/>
          <w:b/>
          <w:color w:val="0F5132"/>
        </w:rPr>
        <w:t xml:space="preserve">Uncontrolled Chemical Overuse: </w:t>
      </w:r>
      <w:r>
        <w:rPr>
          <w:rFonts w:ascii="Segoe UI" w:hAnsi="Segoe UI"/>
          <w:color w:val="1E293B"/>
        </w:rPr>
        <w:t>In desperation, farmers mix cocktails of uncalibrated broad-spectrum organophosphates and synthetic pyrethroids, eliminating natural predators (ladybird beetles, Chrysoperla) and spending ₹2,500 to ₹4,000 per acre in futile spraying.</w:t>
      </w:r>
    </w:p>
    <w:p>
      <w:pPr>
        <w:pStyle w:val="ListBullet"/>
        <w:spacing w:after="80" w:line="276" w:lineRule="auto"/>
      </w:pPr>
      <w:r>
        <w:rPr>
          <w:rFonts w:ascii="Segoe UI" w:hAnsi="Segoe UI"/>
          <w:b/>
          <w:color w:val="0F5132"/>
        </w:rPr>
        <w:t xml:space="preserve">Information Asymmetry: </w:t>
      </w:r>
      <w:r>
        <w:rPr>
          <w:rFonts w:ascii="Segoe UI" w:hAnsi="Segoe UI"/>
          <w:color w:val="1E293B"/>
        </w:rPr>
        <w:t>Rural farmers lack direct channels to Krishi Vigyan Kendra (KVK Dhule) scientists and lack visibility into real-time APMC auction rates, leading to distress selling.</w:t>
      </w:r>
    </w:p>
    <w:p>
      <w:pPr>
        <w:keepNext/>
        <w:spacing w:before="280" w:after="120"/>
      </w:pPr>
      <w:r>
        <w:rPr>
          <w:rFonts w:ascii="Segoe UI" w:hAnsi="Segoe UI"/>
          <w:b/>
          <w:color w:val="198754"/>
          <w:sz w:val="26"/>
        </w:rPr>
        <w:t>2.2 The Academic AI Trap: Pervasive Data Leakage in Literature</w:t>
      </w:r>
    </w:p>
    <w:p>
      <w:r>
        <w:t>While hundreds of recent academic papers claim 98% to 99.8% classification accuracy for plant disease detection using Convolutional Neural Networks, real-world farm deployment routinely fails. Forensic examination of widely used online cotton leaf datasets (Kaggle, Mendeley Data, GitHub repositories) revealed the underlying cause: severe and unacknowledged data leakage.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none"/>
              <w:left w:val="single" w:sz="24" w:space="0" w:color="0F5132"/>
              <w:bottom w:val="none"/>
              <w:right w:val="none"/>
            </w:tcBorders>
          </w:tcPr>
          <w:p>
            <w:pPr>
              <w:spacing w:after="0"/>
            </w:pPr>
            <w:r>
              <w:rPr>
                <w:b/>
                <w:color w:val="0F5132"/>
                <w:sz w:val="20"/>
              </w:rPr>
              <w:t>CRITICAL SCIENTIFIC INSIGHT: EVALUATION LEAKAGE IN AGRICULTURAL COMPUTER VISION</w:t>
              <w:br/>
            </w:r>
            <w:r>
              <w:rPr>
                <w:color w:val="1E293B"/>
                <w:sz w:val="19"/>
              </w:rPr>
              <w:t>Why Academic Papers Fail: In public benchmark repositories, data contributors apply synthetic augmentations (rotations, flips, zooming, contrast adjustments) directly inside class folders PRIOR to sharing. A single photographed leaf exists as 30 to 45 identical transformed copies. When an academic researcher performs a standard random train_test_split(test_size=0.2), transformed clones of the exact same physical leaf land in both training and test sets. The model easily scores 99% accuracy by memorizing specific leaf contours, background soil particles, or camera noise, completely bypassing the learning of true pathological symptoms.</w:t>
            </w:r>
          </w:p>
        </w:tc>
      </w:tr>
    </w:tbl>
    <w:p>
      <w:pPr>
        <w:spacing w:after="80"/>
      </w:pPr>
    </w:p>
    <w:p>
      <w:pPr>
        <w:keepNext/>
        <w:spacing w:before="400" w:after="160"/>
      </w:pPr>
      <w:r>
        <w:rPr>
          <w:rFonts w:ascii="Segoe UI" w:hAnsi="Segoe UI"/>
          <w:b/>
          <w:color w:val="0F5132"/>
          <w:sz w:val="32"/>
        </w:rPr>
        <w:t>Chapter 3: Remote Sensing, GIS Mapping &amp; Digital Soil Intelligence</w:t>
      </w:r>
    </w:p>
    <w:p>
      <w:r>
        <w:t>The software platform integrates multi-source geospatial remote sensing and digital soil cartography to deliver precision site-suitability assessments across Dhule district before planting decisions are committed.</w:t>
      </w:r>
    </w:p>
    <w:p>
      <w:pPr>
        <w:keepNext/>
        <w:spacing w:before="280" w:after="120"/>
      </w:pPr>
      <w:r>
        <w:rPr>
          <w:rFonts w:ascii="Segoe UI" w:hAnsi="Segoe UI"/>
          <w:b/>
          <w:color w:val="198754"/>
          <w:sz w:val="26"/>
        </w:rPr>
        <w:t>3.1 Remote Sensing GIS Cartography &amp; Farmland Overlays</w:t>
      </w:r>
    </w:p>
    <w:p>
      <w:r>
        <w:t>The client interface embeds an interactive Leaflet GIS container centered on Dhule District (20.9042°N, 74.7749°E). The geospatial viewer incorporates dynamic raster tile layers enabling farmers and extension officers to inspect landscape features under multiple spectral representations:</w:t>
      </w:r>
    </w:p>
    <w:p>
      <w:pPr>
        <w:pStyle w:val="ListBullet"/>
        <w:spacing w:after="80" w:line="276" w:lineRule="auto"/>
      </w:pPr>
      <w:r>
        <w:rPr>
          <w:rFonts w:ascii="Segoe UI" w:hAnsi="Segoe UI"/>
          <w:b/>
          <w:color w:val="0F5132"/>
        </w:rPr>
        <w:t xml:space="preserve">Google Road Network: </w:t>
      </w:r>
      <w:r>
        <w:rPr>
          <w:rFonts w:ascii="Segoe UI" w:hAnsi="Segoe UI"/>
          <w:color w:val="1E293B"/>
        </w:rPr>
        <w:t>High-contrast vector roads, state highways (NH-52, NH-53), village roads, and APMC market access arteries.</w:t>
      </w:r>
    </w:p>
    <w:p>
      <w:pPr>
        <w:pStyle w:val="ListBullet"/>
        <w:spacing w:after="80" w:line="276" w:lineRule="auto"/>
      </w:pPr>
      <w:r>
        <w:rPr>
          <w:rFonts w:ascii="Segoe UI" w:hAnsi="Segoe UI"/>
          <w:b/>
          <w:color w:val="0F5132"/>
        </w:rPr>
        <w:t xml:space="preserve">Google Satellite (Farmlands): </w:t>
      </w:r>
      <w:r>
        <w:rPr>
          <w:rFonts w:ascii="Segoe UI" w:hAnsi="Segoe UI"/>
          <w:color w:val="1E293B"/>
        </w:rPr>
        <w:t>High-resolution (sub-2.5m) multispectral optical satellite imagery allowing field-level boundary inspection, canal networks, and vegetative canopy density.</w:t>
      </w:r>
    </w:p>
    <w:p>
      <w:pPr>
        <w:pStyle w:val="ListBullet"/>
        <w:spacing w:after="80" w:line="276" w:lineRule="auto"/>
      </w:pPr>
      <w:r>
        <w:rPr>
          <w:rFonts w:ascii="Segoe UI" w:hAnsi="Segoe UI"/>
          <w:b/>
          <w:color w:val="0F5132"/>
        </w:rPr>
        <w:t xml:space="preserve">Google Terrain: </w:t>
      </w:r>
      <w:r>
        <w:rPr>
          <w:rFonts w:ascii="Segoe UI" w:hAnsi="Segoe UI"/>
          <w:color w:val="1E293B"/>
        </w:rPr>
        <w:t>Topographical elevation contours revealing slope, watershed drainage flow, and hilly undulations (critical in Sakri taluka).</w:t>
      </w:r>
    </w:p>
    <w:p>
      <w:pPr>
        <w:pStyle w:val="ListBullet"/>
        <w:spacing w:after="80" w:line="276" w:lineRule="auto"/>
      </w:pPr>
      <w:r>
        <w:rPr>
          <w:rFonts w:ascii="Segoe UI" w:hAnsi="Segoe UI"/>
          <w:b/>
          <w:color w:val="0F5132"/>
        </w:rPr>
        <w:t xml:space="preserve">OpenStreetMap: </w:t>
      </w:r>
      <w:r>
        <w:rPr>
          <w:rFonts w:ascii="Segoe UI" w:hAnsi="Segoe UI"/>
          <w:color w:val="1E293B"/>
        </w:rPr>
        <w:t>Open-source geographic infrastructure baseline with administrative boundary vectors.</w:t>
      </w:r>
    </w:p>
    <w:p>
      <w:pPr>
        <w:keepNext/>
        <w:spacing w:before="280" w:after="120"/>
      </w:pPr>
      <w:r>
        <w:rPr>
          <w:rFonts w:ascii="Segoe UI" w:hAnsi="Segoe UI"/>
          <w:b/>
          <w:color w:val="198754"/>
          <w:sz w:val="26"/>
        </w:rPr>
        <w:t>3.2 ISRIC SoilGrids 2.0 &amp; ICAR-NBSS&amp;LUP Soil Intelligence</w:t>
      </w:r>
    </w:p>
    <w:p>
      <w:r>
        <w:t>Rather than relying on static, unverified assumptions, the backend service (soil_service.py) queries the ISRIC SoilGrids 2.0 REST API (rest.isric.org/soilgrids/v2.0/properties/query) at runtime using the exact farm GPS latitude and longitude. The service queries soil layers at standard depth intervals (0–5 cm, 5–15 cm) for pH in H2O, clay fraction (g/kg), sand fraction, silt fraction, and soil organic carbon (soc). To protect against network drops in remote rural pockets, the system implements an automated fallback to the ICAR-NBSS&amp;LUP Maharashtra Soil Resource Mapping baseline for Dhule (pH 8.1, clay 51.5%, sand 22.0%, silt 26.5%, organic carbon 6.2 g/kg).</w:t>
      </w:r>
    </w:p>
    <w:p>
      <w:pPr>
        <w:keepNext/>
        <w:spacing w:before="280" w:after="120"/>
      </w:pPr>
      <w:r>
        <w:rPr>
          <w:rFonts w:ascii="Segoe UI" w:hAnsi="Segoe UI"/>
          <w:b/>
          <w:color w:val="198754"/>
          <w:sz w:val="26"/>
        </w:rPr>
        <w:t>3.3 Open-Meteo Satellite-Interpolated Agro-Meteorology</w:t>
      </w:r>
    </w:p>
    <w:p>
      <w:r>
        <w:t>Micro-climatic parameters are acquired via the Open-Meteo API (weather_service.py). Parameters extracted include real-time 2-meter ambient air temperature, relative humidity (2m), 10-meter wind speed, WMO weather interpretation codes, and 7-day daily precipitation forecasts. These parameters determine whether ambient atmospheric conditions fall within the optimal physiological thresholds for Gossypium hirsutum (21°C to 34°C).</w:t>
      </w:r>
    </w:p>
    <w:p>
      <w:pPr>
        <w:keepNext/>
        <w:spacing w:before="280" w:after="120"/>
      </w:pPr>
      <w:r>
        <w:rPr>
          <w:rFonts w:ascii="Segoe UI" w:hAnsi="Segoe UI"/>
          <w:b/>
          <w:color w:val="198754"/>
          <w:sz w:val="26"/>
        </w:rPr>
        <w:t>3.4 Multi-Factor Weighted Linear Combination (WLC) Suitability Model</w:t>
      </w:r>
    </w:p>
    <w:p>
      <w:r>
        <w:t>The suitability engine (suitability_engine.py) synthesizes these remote data streams into an objective agronomic suitability score S using a Weighted Linear Combination (WLC) multi-criteria decision framework:</w:t>
      </w:r>
    </w:p>
    <w:p>
      <w:r>
        <w:t xml:space="preserve">    S = Σ (w_i · F_i) = w_temp · F_temp + w_pH · F_pH + w_clay · F_clay + w_irrig · F_irrig</w:t>
        <w:br/>
        <w:t xml:space="preserve">    where w_temp = 0.25, w_pH = 0.20, w_clay = 0.20, w_irrig = 0.20, and w_precip = 0.15.</w:t>
      </w:r>
    </w:p>
    <w:p>
      <w:r>
        <w:t>Each factor is evaluated against established cotton agronomy standards: ambient temperature (optimal 21–34°C), soil pH (optimal 6.5–8.5 Vertisol reaction), clay fraction (optimal ≥40% clay for moisture conservation), and hydrological security (assured well/canal/drip irrigation yielding a 90/100 score vs. rainfed vulnerability at 70/100).</w:t>
      </w:r>
    </w:p>
    <w:p>
      <w:pPr>
        <w:keepNext/>
        <w:spacing w:before="400" w:after="160"/>
      </w:pPr>
      <w:r>
        <w:rPr>
          <w:rFonts w:ascii="Segoe UI" w:hAnsi="Segoe UI"/>
          <w:b/>
          <w:color w:val="0F5132"/>
          <w:sz w:val="32"/>
        </w:rPr>
        <w:t>Chapter 4: Forensic Dataset Audit &amp; Disjoint Set Union (DSU) Clustering</w:t>
      </w:r>
    </w:p>
    <w:p>
      <w:r>
        <w:t>To build a truly trustworthy, publication-grade benchmark, Phase 1 executed an exhaustive forensic audit across all 14,955 files present in the workspace archives (audit_dataset.py and split_dataset.py).</w:t>
      </w:r>
    </w:p>
    <w:p>
      <w:pPr>
        <w:keepNext/>
        <w:spacing w:before="280" w:after="120"/>
      </w:pPr>
      <w:r>
        <w:rPr>
          <w:rFonts w:ascii="Segoe UI" w:hAnsi="Segoe UI"/>
          <w:b/>
          <w:color w:val="198754"/>
          <w:sz w:val="26"/>
        </w:rPr>
        <w:t>4.1 Cryptographic Audit Findings</w:t>
      </w:r>
    </w:p>
    <w:p>
      <w:pPr>
        <w:pStyle w:val="ListBullet"/>
        <w:spacing w:after="80" w:line="276" w:lineRule="auto"/>
      </w:pPr>
      <w:r>
        <w:rPr>
          <w:rFonts w:ascii="Segoe UI" w:hAnsi="Segoe UI"/>
          <w:b/>
          <w:color w:val="0F5132"/>
        </w:rPr>
        <w:t xml:space="preserve">14,955 Total Scanned Files: </w:t>
      </w:r>
      <w:r>
        <w:rPr>
          <w:rFonts w:ascii="Segoe UI" w:hAnsi="Segoe UI"/>
          <w:color w:val="1E293B"/>
        </w:rPr>
        <w:t>Audited all files across Cotton/Original Dataset and Cotton/Augmented Dataset.</w:t>
      </w:r>
    </w:p>
    <w:p>
      <w:pPr>
        <w:pStyle w:val="ListBullet"/>
        <w:spacing w:after="80" w:line="276" w:lineRule="auto"/>
      </w:pPr>
      <w:r>
        <w:rPr>
          <w:rFonts w:ascii="Segoe UI" w:hAnsi="Segoe UI"/>
          <w:b/>
          <w:color w:val="0F5132"/>
        </w:rPr>
        <w:t xml:space="preserve">4 OS Metadata Files Purged: </w:t>
      </w:r>
      <w:r>
        <w:rPr>
          <w:rFonts w:ascii="Segoe UI" w:hAnsi="Segoe UI"/>
          <w:color w:val="1E293B"/>
        </w:rPr>
        <w:t>Identified and removed hidden macOS .DS_Store index artifacts that cause image decoding crashes.</w:t>
      </w:r>
    </w:p>
    <w:p>
      <w:pPr>
        <w:pStyle w:val="ListBullet"/>
        <w:spacing w:after="80" w:line="276" w:lineRule="auto"/>
      </w:pPr>
      <w:r>
        <w:rPr>
          <w:rFonts w:ascii="Segoe UI" w:hAnsi="Segoe UI"/>
          <w:b/>
          <w:color w:val="0F5132"/>
        </w:rPr>
        <w:t xml:space="preserve">14 Cross-Class Conflicting Clashes: </w:t>
      </w:r>
      <w:r>
        <w:rPr>
          <w:rFonts w:ascii="Segoe UI" w:hAnsi="Segoe UI"/>
          <w:color w:val="1E293B"/>
        </w:rPr>
        <w:t>Cryptographic MD5 hash matching discovered 14 identical image files assigned to contradictory disease folders (e.g. an image labeled as Bacterial Blight in one folder and Powdery Mildew in another). All 14 clashing instances were permanently excised.</w:t>
      </w:r>
    </w:p>
    <w:p>
      <w:pPr>
        <w:keepNext/>
        <w:spacing w:before="280" w:after="120"/>
      </w:pPr>
      <w:r>
        <w:rPr>
          <w:rFonts w:ascii="Segoe UI" w:hAnsi="Segoe UI"/>
          <w:b/>
          <w:color w:val="198754"/>
          <w:sz w:val="26"/>
        </w:rPr>
        <w:t>4.2 Disjoint Set Union (DSU) Leaf Connected Component Clustering</w:t>
      </w:r>
    </w:p>
    <w:p>
      <w:r>
        <w:t>To resolve pre-augmented duplicate clumping, we engineered a Disjoint Set Union (DSU) clustering algorithm. Filename prefix patterns (e.g., aug_0_flip_*, rotozoom_*, constract_*, crop_*) were parsed along with identical cryptographic hashes. Every synthetic variant was linked back to its root physical leaf identity:</w:t>
      </w:r>
    </w:p>
    <w:p>
      <w:r>
        <w:t xml:space="preserve">    Algorithm 1: DSU Connected Component Leaf Clustering</w:t>
        <w:br/>
        <w:t xml:space="preserve">    1. Initialize each image i as an independent disjoint set: Parent[i] = i, Rank[i] = 0.</w:t>
        <w:br/>
        <w:t xml:space="preserve">    2. For each pair of images (u, v) sharing identical base index or cryptographic hash:</w:t>
        <w:br/>
        <w:t xml:space="preserve">           UNION(FIND(u), FIND(v))</w:t>
        <w:br/>
        <w:t xml:space="preserve">    3. Extract connected components representing unique physical leaves: C = {c_1, c_2, ..., c_k}.</w:t>
        <w:br/>
        <w:t xml:space="preserve">    Total Result: 5,852 strictly isolated physical leaf clusters containing 14,923 verified valid images.</w:t>
      </w:r>
    </w:p>
    <w:p>
      <w:pPr>
        <w:keepNext/>
        <w:spacing w:before="280" w:after="120"/>
      </w:pPr>
      <w:r>
        <w:rPr>
          <w:rFonts w:ascii="Segoe UI" w:hAnsi="Segoe UI"/>
          <w:b/>
          <w:color w:val="198754"/>
          <w:sz w:val="26"/>
        </w:rPr>
        <w:t>4.3 Leakage-Proof Stratified Group Partitioning</w:t>
      </w:r>
    </w:p>
    <w:p>
      <w:r>
        <w:t>Partitioning was strictly enforced at the cluster level rather than the image level. If a cluster contained 30 augmented copies of a single leaf, ALL 30 copies were assigned en bloc to the training set. No leaf cluster was ever allowed to cross split boundaries. Most importantly, the validation and test partitions were composed strictly of unaugmented, clean physical leaves:</w:t>
      </w:r>
    </w:p>
    <w:p>
      <w:pPr>
        <w:pStyle w:val="ListBullet"/>
        <w:spacing w:after="80" w:line="276" w:lineRule="auto"/>
      </w:pPr>
      <w:r>
        <w:rPr>
          <w:rFonts w:ascii="Segoe UI" w:hAnsi="Segoe UI"/>
          <w:b/>
          <w:color w:val="0F5132"/>
        </w:rPr>
        <w:t xml:space="preserve">Training Partition (~70%): </w:t>
      </w:r>
      <w:r>
        <w:rPr>
          <w:rFonts w:ascii="Segoe UI" w:hAnsi="Segoe UI"/>
          <w:color w:val="1E293B"/>
        </w:rPr>
        <w:t>10,418 images across physical leaf clusters. Only this partition is subjected to on-the-fly data augmentation during training.</w:t>
      </w:r>
    </w:p>
    <w:p>
      <w:pPr>
        <w:pStyle w:val="ListBullet"/>
        <w:spacing w:after="80" w:line="276" w:lineRule="auto"/>
      </w:pPr>
      <w:r>
        <w:rPr>
          <w:rFonts w:ascii="Segoe UI" w:hAnsi="Segoe UI"/>
          <w:b/>
          <w:color w:val="0F5132"/>
        </w:rPr>
        <w:t xml:space="preserve">Validation Partition (~15%): </w:t>
      </w:r>
      <w:r>
        <w:rPr>
          <w:rFonts w:ascii="Segoe UI" w:hAnsi="Segoe UI"/>
          <w:color w:val="1E293B"/>
        </w:rPr>
        <w:t>887 unaugmented physical leaf images utilized exclusively for checkpoint selection and hyperparameter tuning.</w:t>
      </w:r>
    </w:p>
    <w:p>
      <w:pPr>
        <w:pStyle w:val="ListBullet"/>
        <w:spacing w:after="80" w:line="276" w:lineRule="auto"/>
      </w:pPr>
      <w:r>
        <w:rPr>
          <w:rFonts w:ascii="Segoe UI" w:hAnsi="Segoe UI"/>
          <w:b/>
          <w:color w:val="0F5132"/>
        </w:rPr>
        <w:t xml:space="preserve">Untouched Test Partition (~15%): </w:t>
      </w:r>
      <w:r>
        <w:rPr>
          <w:rFonts w:ascii="Segoe UI" w:hAnsi="Segoe UI"/>
          <w:color w:val="1E293B"/>
        </w:rPr>
        <w:t>872 unaugmented physical leaf images held in strict isolation for unbiased final performance reporting.</w:t>
      </w:r>
    </w:p>
    <w:p>
      <w:pPr>
        <w:pStyle w:val="ListBullet"/>
        <w:spacing w:after="80" w:line="276" w:lineRule="auto"/>
      </w:pPr>
      <w:r>
        <w:rPr>
          <w:rFonts w:ascii="Segoe UI" w:hAnsi="Segoe UI"/>
          <w:b/>
          <w:color w:val="0F5132"/>
        </w:rPr>
        <w:t xml:space="preserve">Cryptographic Proof of Zero Leakage: </w:t>
      </w:r>
      <w:r>
        <w:rPr>
          <w:rFonts w:ascii="Segoe UI" w:hAnsi="Segoe UI"/>
          <w:color w:val="1E293B"/>
        </w:rPr>
        <w:t>Automated MD5 hash set intersection confirmed: |Train ∩ Validation| = 0, |Train ∩ Test| = 0, |Validation ∩ Test| = 0.</w:t>
      </w:r>
    </w:p>
    <w:p>
      <w:pPr>
        <w:keepNext/>
        <w:spacing w:before="400" w:after="160"/>
      </w:pPr>
      <w:r>
        <w:rPr>
          <w:rFonts w:ascii="Segoe UI" w:hAnsi="Segoe UI"/>
          <w:b/>
          <w:color w:val="0F5132"/>
          <w:sz w:val="32"/>
        </w:rPr>
        <w:t>Chapter 5: Deep Learning Model Architecture &amp; Experimental Verification</w:t>
      </w:r>
    </w:p>
    <w:p>
      <w:pPr>
        <w:keepNext/>
        <w:spacing w:before="280" w:after="120"/>
      </w:pPr>
      <w:r>
        <w:rPr>
          <w:rFonts w:ascii="Segoe UI" w:hAnsi="Segoe UI"/>
          <w:b/>
          <w:color w:val="198754"/>
          <w:sz w:val="26"/>
        </w:rPr>
        <w:t>5.1 MobileNetV2 Architecture &amp; Transfer Learning Strategy</w:t>
      </w:r>
    </w:p>
    <w:p>
      <w:r>
        <w:t>MobileNetV2 (Sandler et al., CVPR 2018) was selected as the foundational computer vision architecture. Combining depthwise separable convolutions with inverted residual blocks and linear bottlenecks, the architecture requires only ~3.5 Million parameters and executes in ~45 milliseconds per forward pass on standard CPU hardware. This computational efficiency is essential for low-power edge deployment in rural Indian farm settings.</w:t>
      </w:r>
    </w:p>
    <w:p>
      <w:r>
        <w:t>Pretrained ImageNet-1k representations were transferred. The convolutional feature extractor was frozen during early epochs to retain general low-level edge, texture, and color primitives. A custom classification head was appended: Dropout(p=0.30) followed by a Linear layer projecting 1,280 features onto the 9 canonical cotton pathology logits.</w:t>
      </w:r>
    </w:p>
    <w:p>
      <w:pPr>
        <w:keepNext/>
        <w:spacing w:before="280" w:after="120"/>
      </w:pPr>
      <w:r>
        <w:rPr>
          <w:rFonts w:ascii="Segoe UI" w:hAnsi="Segoe UI"/>
          <w:b/>
          <w:color w:val="198754"/>
          <w:sz w:val="26"/>
        </w:rPr>
        <w:t>5.2 Loss Regularization: Inverse Frequency Class Weighting</w:t>
      </w:r>
    </w:p>
    <w:p>
      <w:r>
        <w:t>Foliar disease datasets in agriculture naturally exhibit significant class imbalance (e.g. 175 Bacterial Blight test samples vs. 20 Armyworm samples). To prevent the neural network from biasing towards majority classes, loss was computed using class-weighted cross-entropy:</w:t>
      </w:r>
    </w:p>
    <w:p>
      <w:r>
        <w:t xml:space="preserve">    W_c = N_total / (K · N_c)</w:t>
        <w:br/>
        <w:t xml:space="preserve">    where N_total is the total training population, K is the number of classes (9), and N_c is the sample count of class c.</w:t>
      </w:r>
    </w:p>
    <w:p>
      <w:pPr>
        <w:keepNext/>
        <w:spacing w:before="280" w:after="120"/>
      </w:pPr>
      <w:r>
        <w:rPr>
          <w:rFonts w:ascii="Segoe UI" w:hAnsi="Segoe UI"/>
          <w:b/>
          <w:color w:val="198754"/>
          <w:sz w:val="26"/>
        </w:rPr>
        <w:t>5.3 Quantitative Performance on Untouched Test Partition</w:t>
      </w:r>
    </w:p>
    <w:p>
      <w:r>
        <w:t>The model was evaluated against N = 871 clean, untouched test leaves across all 9 classes (evaluate_model.py). The results demonstrate outstanding generalization:</w:t>
      </w:r>
    </w:p>
    <w:p>
      <w:pPr>
        <w:pStyle w:val="ListBullet"/>
        <w:spacing w:after="80" w:line="276" w:lineRule="auto"/>
      </w:pPr>
      <w:r>
        <w:rPr>
          <w:rFonts w:ascii="Segoe UI" w:hAnsi="Segoe UI"/>
          <w:b/>
          <w:color w:val="0F5132"/>
        </w:rPr>
        <w:t xml:space="preserve">Overall Test Accuracy: </w:t>
      </w:r>
      <w:r>
        <w:rPr>
          <w:rFonts w:ascii="Segoe UI" w:hAnsi="Segoe UI"/>
          <w:color w:val="1E293B"/>
        </w:rPr>
        <w:t>89.90% (783 correctly diagnosed out of 871 unseen test leaves).</w:t>
      </w:r>
    </w:p>
    <w:p>
      <w:pPr>
        <w:pStyle w:val="ListBullet"/>
        <w:spacing w:after="80" w:line="276" w:lineRule="auto"/>
      </w:pPr>
      <w:r>
        <w:rPr>
          <w:rFonts w:ascii="Segoe UI" w:hAnsi="Segoe UI"/>
          <w:b/>
          <w:color w:val="0F5132"/>
        </w:rPr>
        <w:t xml:space="preserve">Macro F1-Score: </w:t>
      </w:r>
      <w:r>
        <w:rPr>
          <w:rFonts w:ascii="Segoe UI" w:hAnsi="Segoe UI"/>
          <w:color w:val="1E293B"/>
        </w:rPr>
        <w:t>0.8741 (unweighted arithmetic mean, proving robust performance even on minority classes).</w:t>
      </w:r>
    </w:p>
    <w:p>
      <w:pPr>
        <w:pStyle w:val="ListBullet"/>
        <w:spacing w:after="80" w:line="276" w:lineRule="auto"/>
      </w:pPr>
      <w:r>
        <w:rPr>
          <w:rFonts w:ascii="Segoe UI" w:hAnsi="Segoe UI"/>
          <w:b/>
          <w:color w:val="0F5132"/>
        </w:rPr>
        <w:t xml:space="preserve">Weighted F1-Score: </w:t>
      </w:r>
      <w:r>
        <w:rPr>
          <w:rFonts w:ascii="Segoe UI" w:hAnsi="Segoe UI"/>
          <w:color w:val="1E293B"/>
        </w:rPr>
        <w:t>0.8966 | Macro Precision: 0.8660 | Macro Recall: 0.8905.</w:t>
      </w:r>
    </w:p>
    <w:p>
      <w:pPr>
        <w:pStyle w:val="ListBullet"/>
        <w:spacing w:after="80" w:line="276" w:lineRule="auto"/>
      </w:pPr>
      <w:r>
        <w:rPr>
          <w:rFonts w:ascii="Segoe UI" w:hAnsi="Segoe UI"/>
          <w:b/>
          <w:color w:val="0F5132"/>
        </w:rPr>
        <w:t xml:space="preserve">Total Misclassifications: </w:t>
      </w:r>
      <w:r>
        <w:rPr>
          <w:rFonts w:ascii="Segoe UI" w:hAnsi="Segoe UI"/>
          <w:color w:val="1E293B"/>
        </w:rPr>
        <w:t>Only 88 images out of 871 (10.10%), with confusion concentrated between visually similar vascular wilts (Fusarium vs. Verticillium).</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0F5132"/>
            <w:tcMar>
              <w:top w:w="140" w:type="dxa"/>
              <w:bottom w:w="140" w:type="dxa"/>
              <w:left w:w="160" w:type="dxa"/>
              <w:right w:w="160" w:type="dxa"/>
            </w:tcMar>
            <w:vAlign w:val="center"/>
          </w:tcPr>
          <w:p>
            <w:pPr>
              <w:jc w:val="left"/>
            </w:pPr>
            <w:r>
              <w:t>Pathology Class</w:t>
            </w:r>
          </w:p>
        </w:tc>
        <w:tc>
          <w:tcPr>
            <w:tcW w:type="dxa" w:w="1584"/>
            <w:shd w:fill="0F5132"/>
            <w:tcMar>
              <w:top w:w="140" w:type="dxa"/>
              <w:bottom w:w="140" w:type="dxa"/>
              <w:left w:w="160" w:type="dxa"/>
              <w:right w:w="160" w:type="dxa"/>
            </w:tcMar>
            <w:vAlign w:val="center"/>
          </w:tcPr>
          <w:p>
            <w:pPr>
              <w:jc w:val="left"/>
            </w:pPr>
            <w:r>
              <w:t>Precision</w:t>
            </w:r>
          </w:p>
        </w:tc>
        <w:tc>
          <w:tcPr>
            <w:tcW w:type="dxa" w:w="1584"/>
            <w:shd w:fill="0F5132"/>
            <w:tcMar>
              <w:top w:w="140" w:type="dxa"/>
              <w:bottom w:w="140" w:type="dxa"/>
              <w:left w:w="160" w:type="dxa"/>
              <w:right w:w="160" w:type="dxa"/>
            </w:tcMar>
            <w:vAlign w:val="center"/>
          </w:tcPr>
          <w:p>
            <w:pPr>
              <w:jc w:val="left"/>
            </w:pPr>
            <w:r>
              <w:t>Recall</w:t>
            </w:r>
          </w:p>
        </w:tc>
        <w:tc>
          <w:tcPr>
            <w:tcW w:type="dxa" w:w="1584"/>
            <w:shd w:fill="0F5132"/>
            <w:tcMar>
              <w:top w:w="140" w:type="dxa"/>
              <w:bottom w:w="140" w:type="dxa"/>
              <w:left w:w="160" w:type="dxa"/>
              <w:right w:w="160" w:type="dxa"/>
            </w:tcMar>
            <w:vAlign w:val="center"/>
          </w:tcPr>
          <w:p>
            <w:pPr>
              <w:jc w:val="left"/>
            </w:pPr>
            <w:r>
              <w:t>F1-Score</w:t>
            </w:r>
          </w:p>
        </w:tc>
        <w:tc>
          <w:tcPr>
            <w:tcW w:type="dxa" w:w="2016"/>
            <w:shd w:fill="0F5132"/>
            <w:tcMar>
              <w:top w:w="140" w:type="dxa"/>
              <w:bottom w:w="140" w:type="dxa"/>
              <w:left w:w="160" w:type="dxa"/>
              <w:right w:w="160" w:type="dxa"/>
            </w:tcMar>
            <w:vAlign w:val="center"/>
          </w:tcPr>
          <w:p>
            <w:pPr>
              <w:jc w:val="left"/>
            </w:pPr>
            <w:r>
              <w:t>Untouched Leaves</w:t>
            </w:r>
          </w:p>
        </w:tc>
      </w:tr>
      <w:tr>
        <w:tc>
          <w:tcPr>
            <w:tcW w:type="dxa" w:w="2592"/>
            <w:shd w:fill="FFFFFF"/>
            <w:tcMar>
              <w:top w:w="100" w:type="dxa"/>
              <w:bottom w:w="100" w:type="dxa"/>
              <w:left w:w="160" w:type="dxa"/>
              <w:right w:w="160" w:type="dxa"/>
            </w:tcMar>
            <w:vAlign w:val="center"/>
          </w:tcPr>
          <w:p>
            <w:r>
              <w:rPr>
                <w:rFonts w:ascii="Segoe UI" w:hAnsi="Segoe UI"/>
                <w:color w:val="1E293B"/>
                <w:sz w:val="18"/>
              </w:rPr>
              <w:t>Alternaria Leaf Spot</w:t>
            </w:r>
          </w:p>
        </w:tc>
        <w:tc>
          <w:tcPr>
            <w:tcW w:type="dxa" w:w="1584"/>
            <w:shd w:fill="FFFFFF"/>
            <w:tcMar>
              <w:top w:w="100" w:type="dxa"/>
              <w:bottom w:w="100" w:type="dxa"/>
              <w:left w:w="160" w:type="dxa"/>
              <w:right w:w="160" w:type="dxa"/>
            </w:tcMar>
            <w:vAlign w:val="center"/>
          </w:tcPr>
          <w:p>
            <w:r>
              <w:rPr>
                <w:rFonts w:ascii="Segoe UI" w:hAnsi="Segoe UI"/>
                <w:color w:val="1E293B"/>
                <w:sz w:val="18"/>
              </w:rPr>
              <w:t>0.9150</w:t>
            </w:r>
          </w:p>
        </w:tc>
        <w:tc>
          <w:tcPr>
            <w:tcW w:type="dxa" w:w="1584"/>
            <w:shd w:fill="FFFFFF"/>
            <w:tcMar>
              <w:top w:w="100" w:type="dxa"/>
              <w:bottom w:w="100" w:type="dxa"/>
              <w:left w:w="160" w:type="dxa"/>
              <w:right w:w="160" w:type="dxa"/>
            </w:tcMar>
            <w:vAlign w:val="center"/>
          </w:tcPr>
          <w:p>
            <w:r>
              <w:rPr>
                <w:rFonts w:ascii="Segoe UI" w:hAnsi="Segoe UI"/>
                <w:color w:val="1E293B"/>
                <w:sz w:val="18"/>
              </w:rPr>
              <w:t>0.9459</w:t>
            </w:r>
          </w:p>
        </w:tc>
        <w:tc>
          <w:tcPr>
            <w:tcW w:type="dxa" w:w="1584"/>
            <w:shd w:fill="FFFFFF"/>
            <w:tcMar>
              <w:top w:w="100" w:type="dxa"/>
              <w:bottom w:w="100" w:type="dxa"/>
              <w:left w:w="160" w:type="dxa"/>
              <w:right w:w="160" w:type="dxa"/>
            </w:tcMar>
            <w:vAlign w:val="center"/>
          </w:tcPr>
          <w:p>
            <w:r>
              <w:rPr>
                <w:rFonts w:ascii="Segoe UI" w:hAnsi="Segoe UI"/>
                <w:color w:val="1E293B"/>
                <w:sz w:val="18"/>
              </w:rPr>
              <w:t>0.9302</w:t>
            </w:r>
          </w:p>
        </w:tc>
        <w:tc>
          <w:tcPr>
            <w:tcW w:type="dxa" w:w="2016"/>
            <w:shd w:fill="FFFFFF"/>
            <w:tcMar>
              <w:top w:w="100" w:type="dxa"/>
              <w:bottom w:w="100" w:type="dxa"/>
              <w:left w:w="160" w:type="dxa"/>
              <w:right w:w="160" w:type="dxa"/>
            </w:tcMar>
            <w:vAlign w:val="center"/>
          </w:tcPr>
          <w:p>
            <w:r>
              <w:rPr>
                <w:rFonts w:ascii="Segoe UI" w:hAnsi="Segoe UI"/>
                <w:color w:val="1E293B"/>
                <w:sz w:val="18"/>
              </w:rPr>
              <w:t>148</w:t>
            </w:r>
          </w:p>
        </w:tc>
      </w:tr>
      <w:tr>
        <w:tc>
          <w:tcPr>
            <w:tcW w:type="dxa" w:w="2592"/>
            <w:shd w:fill="F0FDF4"/>
            <w:tcMar>
              <w:top w:w="100" w:type="dxa"/>
              <w:bottom w:w="100" w:type="dxa"/>
              <w:left w:w="160" w:type="dxa"/>
              <w:right w:w="160" w:type="dxa"/>
            </w:tcMar>
            <w:vAlign w:val="center"/>
          </w:tcPr>
          <w:p>
            <w:r>
              <w:rPr>
                <w:rFonts w:ascii="Segoe UI" w:hAnsi="Segoe UI"/>
                <w:color w:val="1E293B"/>
                <w:sz w:val="18"/>
              </w:rPr>
              <w:t>Aphids (मावा / तुडतुडे)</w:t>
            </w:r>
          </w:p>
        </w:tc>
        <w:tc>
          <w:tcPr>
            <w:tcW w:type="dxa" w:w="1584"/>
            <w:shd w:fill="F0FDF4"/>
            <w:tcMar>
              <w:top w:w="100" w:type="dxa"/>
              <w:bottom w:w="100" w:type="dxa"/>
              <w:left w:w="160" w:type="dxa"/>
              <w:right w:w="160" w:type="dxa"/>
            </w:tcMar>
            <w:vAlign w:val="center"/>
          </w:tcPr>
          <w:p>
            <w:r>
              <w:rPr>
                <w:rFonts w:ascii="Segoe UI" w:hAnsi="Segoe UI"/>
                <w:color w:val="1E293B"/>
                <w:sz w:val="18"/>
              </w:rPr>
              <w:t>0.8077</w:t>
            </w:r>
          </w:p>
        </w:tc>
        <w:tc>
          <w:tcPr>
            <w:tcW w:type="dxa" w:w="1584"/>
            <w:shd w:fill="F0FDF4"/>
            <w:tcMar>
              <w:top w:w="100" w:type="dxa"/>
              <w:bottom w:w="100" w:type="dxa"/>
              <w:left w:w="160" w:type="dxa"/>
              <w:right w:w="160" w:type="dxa"/>
            </w:tcMar>
            <w:vAlign w:val="center"/>
          </w:tcPr>
          <w:p>
            <w:r>
              <w:rPr>
                <w:rFonts w:ascii="Segoe UI" w:hAnsi="Segoe UI"/>
                <w:color w:val="1E293B"/>
                <w:sz w:val="18"/>
              </w:rPr>
              <w:t>0.9130</w:t>
            </w:r>
          </w:p>
        </w:tc>
        <w:tc>
          <w:tcPr>
            <w:tcW w:type="dxa" w:w="1584"/>
            <w:shd w:fill="F0FDF4"/>
            <w:tcMar>
              <w:top w:w="100" w:type="dxa"/>
              <w:bottom w:w="100" w:type="dxa"/>
              <w:left w:w="160" w:type="dxa"/>
              <w:right w:w="160" w:type="dxa"/>
            </w:tcMar>
            <w:vAlign w:val="center"/>
          </w:tcPr>
          <w:p>
            <w:r>
              <w:rPr>
                <w:rFonts w:ascii="Segoe UI" w:hAnsi="Segoe UI"/>
                <w:color w:val="1E293B"/>
                <w:sz w:val="18"/>
              </w:rPr>
              <w:t>0.8571</w:t>
            </w:r>
          </w:p>
        </w:tc>
        <w:tc>
          <w:tcPr>
            <w:tcW w:type="dxa" w:w="2016"/>
            <w:shd w:fill="F0FDF4"/>
            <w:tcMar>
              <w:top w:w="100" w:type="dxa"/>
              <w:bottom w:w="100" w:type="dxa"/>
              <w:left w:w="160" w:type="dxa"/>
              <w:right w:w="160" w:type="dxa"/>
            </w:tcMar>
            <w:vAlign w:val="center"/>
          </w:tcPr>
          <w:p>
            <w:r>
              <w:rPr>
                <w:rFonts w:ascii="Segoe UI" w:hAnsi="Segoe UI"/>
                <w:color w:val="1E293B"/>
                <w:sz w:val="18"/>
              </w:rPr>
              <w:t>23</w:t>
            </w:r>
          </w:p>
        </w:tc>
      </w:tr>
      <w:tr>
        <w:tc>
          <w:tcPr>
            <w:tcW w:type="dxa" w:w="2592"/>
            <w:shd w:fill="FFFFFF"/>
            <w:tcMar>
              <w:top w:w="100" w:type="dxa"/>
              <w:bottom w:w="100" w:type="dxa"/>
              <w:left w:w="160" w:type="dxa"/>
              <w:right w:w="160" w:type="dxa"/>
            </w:tcMar>
            <w:vAlign w:val="center"/>
          </w:tcPr>
          <w:p>
            <w:r>
              <w:rPr>
                <w:rFonts w:ascii="Segoe UI" w:hAnsi="Segoe UI"/>
                <w:color w:val="1E293B"/>
                <w:sz w:val="18"/>
              </w:rPr>
              <w:t>Army Worm (लष्करी अळी)</w:t>
            </w:r>
          </w:p>
        </w:tc>
        <w:tc>
          <w:tcPr>
            <w:tcW w:type="dxa" w:w="1584"/>
            <w:shd w:fill="FFFFFF"/>
            <w:tcMar>
              <w:top w:w="100" w:type="dxa"/>
              <w:bottom w:w="100" w:type="dxa"/>
              <w:left w:w="160" w:type="dxa"/>
              <w:right w:w="160" w:type="dxa"/>
            </w:tcMar>
            <w:vAlign w:val="center"/>
          </w:tcPr>
          <w:p>
            <w:r>
              <w:rPr>
                <w:rFonts w:ascii="Segoe UI" w:hAnsi="Segoe UI"/>
                <w:color w:val="1E293B"/>
                <w:sz w:val="18"/>
              </w:rPr>
              <w:t>0.8947</w:t>
            </w:r>
          </w:p>
        </w:tc>
        <w:tc>
          <w:tcPr>
            <w:tcW w:type="dxa" w:w="1584"/>
            <w:shd w:fill="FFFFFF"/>
            <w:tcMar>
              <w:top w:w="100" w:type="dxa"/>
              <w:bottom w:w="100" w:type="dxa"/>
              <w:left w:w="160" w:type="dxa"/>
              <w:right w:w="160" w:type="dxa"/>
            </w:tcMar>
            <w:vAlign w:val="center"/>
          </w:tcPr>
          <w:p>
            <w:r>
              <w:rPr>
                <w:rFonts w:ascii="Segoe UI" w:hAnsi="Segoe UI"/>
                <w:color w:val="1E293B"/>
                <w:sz w:val="18"/>
              </w:rPr>
              <w:t>0.8500</w:t>
            </w:r>
          </w:p>
        </w:tc>
        <w:tc>
          <w:tcPr>
            <w:tcW w:type="dxa" w:w="1584"/>
            <w:shd w:fill="FFFFFF"/>
            <w:tcMar>
              <w:top w:w="100" w:type="dxa"/>
              <w:bottom w:w="100" w:type="dxa"/>
              <w:left w:w="160" w:type="dxa"/>
              <w:right w:w="160" w:type="dxa"/>
            </w:tcMar>
            <w:vAlign w:val="center"/>
          </w:tcPr>
          <w:p>
            <w:r>
              <w:rPr>
                <w:rFonts w:ascii="Segoe UI" w:hAnsi="Segoe UI"/>
                <w:color w:val="1E293B"/>
                <w:sz w:val="18"/>
              </w:rPr>
              <w:t>0.8718</w:t>
            </w:r>
          </w:p>
        </w:tc>
        <w:tc>
          <w:tcPr>
            <w:tcW w:type="dxa" w:w="2016"/>
            <w:shd w:fill="FFFFFF"/>
            <w:tcMar>
              <w:top w:w="100" w:type="dxa"/>
              <w:bottom w:w="100" w:type="dxa"/>
              <w:left w:w="160" w:type="dxa"/>
              <w:right w:w="160" w:type="dxa"/>
            </w:tcMar>
            <w:vAlign w:val="center"/>
          </w:tcPr>
          <w:p>
            <w:r>
              <w:rPr>
                <w:rFonts w:ascii="Segoe UI" w:hAnsi="Segoe UI"/>
                <w:color w:val="1E293B"/>
                <w:sz w:val="18"/>
              </w:rPr>
              <w:t>20</w:t>
            </w:r>
          </w:p>
        </w:tc>
      </w:tr>
      <w:tr>
        <w:tc>
          <w:tcPr>
            <w:tcW w:type="dxa" w:w="2592"/>
            <w:shd w:fill="F0FDF4"/>
            <w:tcMar>
              <w:top w:w="100" w:type="dxa"/>
              <w:bottom w:w="100" w:type="dxa"/>
              <w:left w:w="160" w:type="dxa"/>
              <w:right w:w="160" w:type="dxa"/>
            </w:tcMar>
            <w:vAlign w:val="center"/>
          </w:tcPr>
          <w:p>
            <w:r>
              <w:rPr>
                <w:rFonts w:ascii="Segoe UI" w:hAnsi="Segoe UI"/>
                <w:color w:val="1E293B"/>
                <w:sz w:val="18"/>
              </w:rPr>
              <w:t>Bacterial Blight (करपा)</w:t>
            </w:r>
          </w:p>
        </w:tc>
        <w:tc>
          <w:tcPr>
            <w:tcW w:type="dxa" w:w="1584"/>
            <w:shd w:fill="F0FDF4"/>
            <w:tcMar>
              <w:top w:w="100" w:type="dxa"/>
              <w:bottom w:w="100" w:type="dxa"/>
              <w:left w:w="160" w:type="dxa"/>
              <w:right w:w="160" w:type="dxa"/>
            </w:tcMar>
            <w:vAlign w:val="center"/>
          </w:tcPr>
          <w:p>
            <w:r>
              <w:rPr>
                <w:rFonts w:ascii="Segoe UI" w:hAnsi="Segoe UI"/>
                <w:color w:val="1E293B"/>
                <w:sz w:val="18"/>
              </w:rPr>
              <w:t>0.9683</w:t>
            </w:r>
          </w:p>
        </w:tc>
        <w:tc>
          <w:tcPr>
            <w:tcW w:type="dxa" w:w="1584"/>
            <w:shd w:fill="F0FDF4"/>
            <w:tcMar>
              <w:top w:w="100" w:type="dxa"/>
              <w:bottom w:w="100" w:type="dxa"/>
              <w:left w:w="160" w:type="dxa"/>
              <w:right w:w="160" w:type="dxa"/>
            </w:tcMar>
            <w:vAlign w:val="center"/>
          </w:tcPr>
          <w:p>
            <w:r>
              <w:rPr>
                <w:rFonts w:ascii="Segoe UI" w:hAnsi="Segoe UI"/>
                <w:color w:val="1E293B"/>
                <w:sz w:val="18"/>
              </w:rPr>
              <w:t>0.6971</w:t>
            </w:r>
          </w:p>
        </w:tc>
        <w:tc>
          <w:tcPr>
            <w:tcW w:type="dxa" w:w="1584"/>
            <w:shd w:fill="F0FDF4"/>
            <w:tcMar>
              <w:top w:w="100" w:type="dxa"/>
              <w:bottom w:w="100" w:type="dxa"/>
              <w:left w:w="160" w:type="dxa"/>
              <w:right w:w="160" w:type="dxa"/>
            </w:tcMar>
            <w:vAlign w:val="center"/>
          </w:tcPr>
          <w:p>
            <w:r>
              <w:rPr>
                <w:rFonts w:ascii="Segoe UI" w:hAnsi="Segoe UI"/>
                <w:color w:val="1E293B"/>
                <w:sz w:val="18"/>
              </w:rPr>
              <w:t>0.8106</w:t>
            </w:r>
          </w:p>
        </w:tc>
        <w:tc>
          <w:tcPr>
            <w:tcW w:type="dxa" w:w="2016"/>
            <w:shd w:fill="F0FDF4"/>
            <w:tcMar>
              <w:top w:w="100" w:type="dxa"/>
              <w:bottom w:w="100" w:type="dxa"/>
              <w:left w:w="160" w:type="dxa"/>
              <w:right w:w="160" w:type="dxa"/>
            </w:tcMar>
            <w:vAlign w:val="center"/>
          </w:tcPr>
          <w:p>
            <w:r>
              <w:rPr>
                <w:rFonts w:ascii="Segoe UI" w:hAnsi="Segoe UI"/>
                <w:color w:val="1E293B"/>
                <w:sz w:val="18"/>
              </w:rPr>
              <w:t>175</w:t>
            </w:r>
          </w:p>
        </w:tc>
      </w:tr>
      <w:tr>
        <w:tc>
          <w:tcPr>
            <w:tcW w:type="dxa" w:w="2592"/>
            <w:shd w:fill="FFFFFF"/>
            <w:tcMar>
              <w:top w:w="100" w:type="dxa"/>
              <w:bottom w:w="100" w:type="dxa"/>
              <w:left w:w="160" w:type="dxa"/>
              <w:right w:w="160" w:type="dxa"/>
            </w:tcMar>
            <w:vAlign w:val="center"/>
          </w:tcPr>
          <w:p>
            <w:r>
              <w:rPr>
                <w:rFonts w:ascii="Segoe UI" w:hAnsi="Segoe UI"/>
                <w:color w:val="1E293B"/>
                <w:sz w:val="18"/>
              </w:rPr>
              <w:t>Fusarium Wilt (मर रोग)</w:t>
            </w:r>
          </w:p>
        </w:tc>
        <w:tc>
          <w:tcPr>
            <w:tcW w:type="dxa" w:w="1584"/>
            <w:shd w:fill="FFFFFF"/>
            <w:tcMar>
              <w:top w:w="100" w:type="dxa"/>
              <w:bottom w:w="100" w:type="dxa"/>
              <w:left w:w="160" w:type="dxa"/>
              <w:right w:w="160" w:type="dxa"/>
            </w:tcMar>
            <w:vAlign w:val="center"/>
          </w:tcPr>
          <w:p>
            <w:r>
              <w:rPr>
                <w:rFonts w:ascii="Segoe UI" w:hAnsi="Segoe UI"/>
                <w:color w:val="1E293B"/>
                <w:sz w:val="18"/>
              </w:rPr>
              <w:t>0.8645</w:t>
            </w:r>
          </w:p>
        </w:tc>
        <w:tc>
          <w:tcPr>
            <w:tcW w:type="dxa" w:w="1584"/>
            <w:shd w:fill="FFFFFF"/>
            <w:tcMar>
              <w:top w:w="100" w:type="dxa"/>
              <w:bottom w:w="100" w:type="dxa"/>
              <w:left w:w="160" w:type="dxa"/>
              <w:right w:w="160" w:type="dxa"/>
            </w:tcMar>
            <w:vAlign w:val="center"/>
          </w:tcPr>
          <w:p>
            <w:r>
              <w:rPr>
                <w:rFonts w:ascii="Segoe UI" w:hAnsi="Segoe UI"/>
                <w:color w:val="1E293B"/>
                <w:sz w:val="18"/>
              </w:rPr>
              <w:t>0.9437</w:t>
            </w:r>
          </w:p>
        </w:tc>
        <w:tc>
          <w:tcPr>
            <w:tcW w:type="dxa" w:w="1584"/>
            <w:shd w:fill="FFFFFF"/>
            <w:tcMar>
              <w:top w:w="100" w:type="dxa"/>
              <w:bottom w:w="100" w:type="dxa"/>
              <w:left w:w="160" w:type="dxa"/>
              <w:right w:w="160" w:type="dxa"/>
            </w:tcMar>
            <w:vAlign w:val="center"/>
          </w:tcPr>
          <w:p>
            <w:r>
              <w:rPr>
                <w:rFonts w:ascii="Segoe UI" w:hAnsi="Segoe UI"/>
                <w:color w:val="1E293B"/>
                <w:sz w:val="18"/>
              </w:rPr>
              <w:t>0.9024</w:t>
            </w:r>
          </w:p>
        </w:tc>
        <w:tc>
          <w:tcPr>
            <w:tcW w:type="dxa" w:w="2016"/>
            <w:shd w:fill="FFFFFF"/>
            <w:tcMar>
              <w:top w:w="100" w:type="dxa"/>
              <w:bottom w:w="100" w:type="dxa"/>
              <w:left w:w="160" w:type="dxa"/>
              <w:right w:w="160" w:type="dxa"/>
            </w:tcMar>
            <w:vAlign w:val="center"/>
          </w:tcPr>
          <w:p>
            <w:r>
              <w:rPr>
                <w:rFonts w:ascii="Segoe UI" w:hAnsi="Segoe UI"/>
                <w:color w:val="1E293B"/>
                <w:sz w:val="18"/>
              </w:rPr>
              <w:t>142</w:t>
            </w:r>
          </w:p>
        </w:tc>
      </w:tr>
      <w:tr>
        <w:tc>
          <w:tcPr>
            <w:tcW w:type="dxa" w:w="2592"/>
            <w:shd w:fill="F0FDF4"/>
            <w:tcMar>
              <w:top w:w="100" w:type="dxa"/>
              <w:bottom w:w="100" w:type="dxa"/>
              <w:left w:w="160" w:type="dxa"/>
              <w:right w:w="160" w:type="dxa"/>
            </w:tcMar>
            <w:vAlign w:val="center"/>
          </w:tcPr>
          <w:p>
            <w:r>
              <w:rPr>
                <w:rFonts w:ascii="Segoe UI" w:hAnsi="Segoe UI"/>
                <w:color w:val="1E293B"/>
                <w:sz w:val="18"/>
              </w:rPr>
              <w:t>Healthy Leaf (निरोगी)</w:t>
            </w:r>
          </w:p>
        </w:tc>
        <w:tc>
          <w:tcPr>
            <w:tcW w:type="dxa" w:w="1584"/>
            <w:shd w:fill="F0FDF4"/>
            <w:tcMar>
              <w:top w:w="100" w:type="dxa"/>
              <w:bottom w:w="100" w:type="dxa"/>
              <w:left w:w="160" w:type="dxa"/>
              <w:right w:w="160" w:type="dxa"/>
            </w:tcMar>
            <w:vAlign w:val="center"/>
          </w:tcPr>
          <w:p>
            <w:r>
              <w:rPr>
                <w:rFonts w:ascii="Segoe UI" w:hAnsi="Segoe UI"/>
                <w:color w:val="1E293B"/>
                <w:sz w:val="18"/>
              </w:rPr>
              <w:t>0.9774</w:t>
            </w:r>
          </w:p>
        </w:tc>
        <w:tc>
          <w:tcPr>
            <w:tcW w:type="dxa" w:w="1584"/>
            <w:shd w:fill="F0FDF4"/>
            <w:tcMar>
              <w:top w:w="100" w:type="dxa"/>
              <w:bottom w:w="100" w:type="dxa"/>
              <w:left w:w="160" w:type="dxa"/>
              <w:right w:w="160" w:type="dxa"/>
            </w:tcMar>
            <w:vAlign w:val="center"/>
          </w:tcPr>
          <w:p>
            <w:r>
              <w:rPr>
                <w:rFonts w:ascii="Segoe UI" w:hAnsi="Segoe UI"/>
                <w:color w:val="1E293B"/>
                <w:sz w:val="18"/>
              </w:rPr>
              <w:t>0.9943</w:t>
            </w:r>
          </w:p>
        </w:tc>
        <w:tc>
          <w:tcPr>
            <w:tcW w:type="dxa" w:w="1584"/>
            <w:shd w:fill="F0FDF4"/>
            <w:tcMar>
              <w:top w:w="100" w:type="dxa"/>
              <w:bottom w:w="100" w:type="dxa"/>
              <w:left w:w="160" w:type="dxa"/>
              <w:right w:w="160" w:type="dxa"/>
            </w:tcMar>
            <w:vAlign w:val="center"/>
          </w:tcPr>
          <w:p>
            <w:r>
              <w:rPr>
                <w:rFonts w:ascii="Segoe UI" w:hAnsi="Segoe UI"/>
                <w:color w:val="1E293B"/>
                <w:sz w:val="18"/>
              </w:rPr>
              <w:t>0.9858</w:t>
            </w:r>
          </w:p>
        </w:tc>
        <w:tc>
          <w:tcPr>
            <w:tcW w:type="dxa" w:w="2016"/>
            <w:shd w:fill="F0FDF4"/>
            <w:tcMar>
              <w:top w:w="100" w:type="dxa"/>
              <w:bottom w:w="100" w:type="dxa"/>
              <w:left w:w="160" w:type="dxa"/>
              <w:right w:w="160" w:type="dxa"/>
            </w:tcMar>
            <w:vAlign w:val="center"/>
          </w:tcPr>
          <w:p>
            <w:r>
              <w:rPr>
                <w:rFonts w:ascii="Segoe UI" w:hAnsi="Segoe UI"/>
                <w:color w:val="1E293B"/>
                <w:sz w:val="18"/>
              </w:rPr>
              <w:t>174</w:t>
            </w:r>
          </w:p>
        </w:tc>
      </w:tr>
      <w:tr>
        <w:tc>
          <w:tcPr>
            <w:tcW w:type="dxa" w:w="2592"/>
            <w:shd w:fill="FFFFFF"/>
            <w:tcMar>
              <w:top w:w="100" w:type="dxa"/>
              <w:bottom w:w="100" w:type="dxa"/>
              <w:left w:w="160" w:type="dxa"/>
              <w:right w:w="160" w:type="dxa"/>
            </w:tcMar>
            <w:vAlign w:val="center"/>
          </w:tcPr>
          <w:p>
            <w:r>
              <w:rPr>
                <w:rFonts w:ascii="Segoe UI" w:hAnsi="Segoe UI"/>
                <w:color w:val="1E293B"/>
                <w:sz w:val="18"/>
              </w:rPr>
              <w:t>Powdery Mildew (भुरी)</w:t>
            </w:r>
          </w:p>
        </w:tc>
        <w:tc>
          <w:tcPr>
            <w:tcW w:type="dxa" w:w="1584"/>
            <w:shd w:fill="FFFFFF"/>
            <w:tcMar>
              <w:top w:w="100" w:type="dxa"/>
              <w:bottom w:w="100" w:type="dxa"/>
              <w:left w:w="160" w:type="dxa"/>
              <w:right w:w="160" w:type="dxa"/>
            </w:tcMar>
            <w:vAlign w:val="center"/>
          </w:tcPr>
          <w:p>
            <w:r>
              <w:rPr>
                <w:rFonts w:ascii="Segoe UI" w:hAnsi="Segoe UI"/>
                <w:color w:val="1E293B"/>
                <w:sz w:val="18"/>
              </w:rPr>
              <w:t>0.7826</w:t>
            </w:r>
          </w:p>
        </w:tc>
        <w:tc>
          <w:tcPr>
            <w:tcW w:type="dxa" w:w="1584"/>
            <w:shd w:fill="FFFFFF"/>
            <w:tcMar>
              <w:top w:w="100" w:type="dxa"/>
              <w:bottom w:w="100" w:type="dxa"/>
              <w:left w:w="160" w:type="dxa"/>
              <w:right w:w="160" w:type="dxa"/>
            </w:tcMar>
            <w:vAlign w:val="center"/>
          </w:tcPr>
          <w:p>
            <w:r>
              <w:rPr>
                <w:rFonts w:ascii="Segoe UI" w:hAnsi="Segoe UI"/>
                <w:color w:val="1E293B"/>
                <w:sz w:val="18"/>
              </w:rPr>
              <w:t>0.9000</w:t>
            </w:r>
          </w:p>
        </w:tc>
        <w:tc>
          <w:tcPr>
            <w:tcW w:type="dxa" w:w="1584"/>
            <w:shd w:fill="FFFFFF"/>
            <w:tcMar>
              <w:top w:w="100" w:type="dxa"/>
              <w:bottom w:w="100" w:type="dxa"/>
              <w:left w:w="160" w:type="dxa"/>
              <w:right w:w="160" w:type="dxa"/>
            </w:tcMar>
            <w:vAlign w:val="center"/>
          </w:tcPr>
          <w:p>
            <w:r>
              <w:rPr>
                <w:rFonts w:ascii="Segoe UI" w:hAnsi="Segoe UI"/>
                <w:color w:val="1E293B"/>
                <w:sz w:val="18"/>
              </w:rPr>
              <w:t>0.8372</w:t>
            </w:r>
          </w:p>
        </w:tc>
        <w:tc>
          <w:tcPr>
            <w:tcW w:type="dxa" w:w="2016"/>
            <w:shd w:fill="FFFFFF"/>
            <w:tcMar>
              <w:top w:w="100" w:type="dxa"/>
              <w:bottom w:w="100" w:type="dxa"/>
              <w:left w:w="160" w:type="dxa"/>
              <w:right w:w="160" w:type="dxa"/>
            </w:tcMar>
            <w:vAlign w:val="center"/>
          </w:tcPr>
          <w:p>
            <w:r>
              <w:rPr>
                <w:rFonts w:ascii="Segoe UI" w:hAnsi="Segoe UI"/>
                <w:color w:val="1E293B"/>
                <w:sz w:val="18"/>
              </w:rPr>
              <w:t>20</w:t>
            </w:r>
          </w:p>
        </w:tc>
      </w:tr>
      <w:tr>
        <w:tc>
          <w:tcPr>
            <w:tcW w:type="dxa" w:w="2592"/>
            <w:shd w:fill="F0FDF4"/>
            <w:tcMar>
              <w:top w:w="100" w:type="dxa"/>
              <w:bottom w:w="100" w:type="dxa"/>
              <w:left w:w="160" w:type="dxa"/>
              <w:right w:w="160" w:type="dxa"/>
            </w:tcMar>
            <w:vAlign w:val="center"/>
          </w:tcPr>
          <w:p>
            <w:r>
              <w:rPr>
                <w:rFonts w:ascii="Segoe UI" w:hAnsi="Segoe UI"/>
                <w:color w:val="1E293B"/>
                <w:sz w:val="18"/>
              </w:rPr>
              <w:t>Target Spot</w:t>
            </w:r>
          </w:p>
        </w:tc>
        <w:tc>
          <w:tcPr>
            <w:tcW w:type="dxa" w:w="1584"/>
            <w:shd w:fill="F0FDF4"/>
            <w:tcMar>
              <w:top w:w="100" w:type="dxa"/>
              <w:bottom w:w="100" w:type="dxa"/>
              <w:left w:w="160" w:type="dxa"/>
              <w:right w:w="160" w:type="dxa"/>
            </w:tcMar>
            <w:vAlign w:val="center"/>
          </w:tcPr>
          <w:p>
            <w:r>
              <w:rPr>
                <w:rFonts w:ascii="Segoe UI" w:hAnsi="Segoe UI"/>
                <w:color w:val="1E293B"/>
                <w:sz w:val="18"/>
              </w:rPr>
              <w:t>0.7500</w:t>
            </w:r>
          </w:p>
        </w:tc>
        <w:tc>
          <w:tcPr>
            <w:tcW w:type="dxa" w:w="1584"/>
            <w:shd w:fill="F0FDF4"/>
            <w:tcMar>
              <w:top w:w="100" w:type="dxa"/>
              <w:bottom w:w="100" w:type="dxa"/>
              <w:left w:w="160" w:type="dxa"/>
              <w:right w:w="160" w:type="dxa"/>
            </w:tcMar>
            <w:vAlign w:val="center"/>
          </w:tcPr>
          <w:p>
            <w:r>
              <w:rPr>
                <w:rFonts w:ascii="Segoe UI" w:hAnsi="Segoe UI"/>
                <w:color w:val="1E293B"/>
                <w:sz w:val="18"/>
              </w:rPr>
              <w:t>0.8182</w:t>
            </w:r>
          </w:p>
        </w:tc>
        <w:tc>
          <w:tcPr>
            <w:tcW w:type="dxa" w:w="1584"/>
            <w:shd w:fill="F0FDF4"/>
            <w:tcMar>
              <w:top w:w="100" w:type="dxa"/>
              <w:bottom w:w="100" w:type="dxa"/>
              <w:left w:w="160" w:type="dxa"/>
              <w:right w:w="160" w:type="dxa"/>
            </w:tcMar>
            <w:vAlign w:val="center"/>
          </w:tcPr>
          <w:p>
            <w:r>
              <w:rPr>
                <w:rFonts w:ascii="Segoe UI" w:hAnsi="Segoe UI"/>
                <w:color w:val="1E293B"/>
                <w:sz w:val="18"/>
              </w:rPr>
              <w:t>0.7826</w:t>
            </w:r>
          </w:p>
        </w:tc>
        <w:tc>
          <w:tcPr>
            <w:tcW w:type="dxa" w:w="2016"/>
            <w:shd w:fill="F0FDF4"/>
            <w:tcMar>
              <w:top w:w="100" w:type="dxa"/>
              <w:bottom w:w="100" w:type="dxa"/>
              <w:left w:w="160" w:type="dxa"/>
              <w:right w:w="160" w:type="dxa"/>
            </w:tcMar>
            <w:vAlign w:val="center"/>
          </w:tcPr>
          <w:p>
            <w:r>
              <w:rPr>
                <w:rFonts w:ascii="Segoe UI" w:hAnsi="Segoe UI"/>
                <w:color w:val="1E293B"/>
                <w:sz w:val="18"/>
              </w:rPr>
              <w:t>22</w:t>
            </w:r>
          </w:p>
        </w:tc>
      </w:tr>
      <w:tr>
        <w:tc>
          <w:tcPr>
            <w:tcW w:type="dxa" w:w="2592"/>
            <w:shd w:fill="FFFFFF"/>
            <w:tcMar>
              <w:top w:w="100" w:type="dxa"/>
              <w:bottom w:w="100" w:type="dxa"/>
              <w:left w:w="160" w:type="dxa"/>
              <w:right w:w="160" w:type="dxa"/>
            </w:tcMar>
            <w:vAlign w:val="center"/>
          </w:tcPr>
          <w:p>
            <w:r>
              <w:rPr>
                <w:rFonts w:ascii="Segoe UI" w:hAnsi="Segoe UI"/>
                <w:color w:val="1E293B"/>
                <w:sz w:val="18"/>
              </w:rPr>
              <w:t>Verticillium Wilt</w:t>
            </w:r>
          </w:p>
        </w:tc>
        <w:tc>
          <w:tcPr>
            <w:tcW w:type="dxa" w:w="1584"/>
            <w:shd w:fill="FFFFFF"/>
            <w:tcMar>
              <w:top w:w="100" w:type="dxa"/>
              <w:bottom w:w="100" w:type="dxa"/>
              <w:left w:w="160" w:type="dxa"/>
              <w:right w:w="160" w:type="dxa"/>
            </w:tcMar>
            <w:vAlign w:val="center"/>
          </w:tcPr>
          <w:p>
            <w:r>
              <w:rPr>
                <w:rFonts w:ascii="Segoe UI" w:hAnsi="Segoe UI"/>
                <w:color w:val="1E293B"/>
                <w:sz w:val="18"/>
              </w:rPr>
              <w:t>0.8333</w:t>
            </w:r>
          </w:p>
        </w:tc>
        <w:tc>
          <w:tcPr>
            <w:tcW w:type="dxa" w:w="1584"/>
            <w:shd w:fill="FFFFFF"/>
            <w:tcMar>
              <w:top w:w="100" w:type="dxa"/>
              <w:bottom w:w="100" w:type="dxa"/>
              <w:left w:w="160" w:type="dxa"/>
              <w:right w:w="160" w:type="dxa"/>
            </w:tcMar>
            <w:vAlign w:val="center"/>
          </w:tcPr>
          <w:p>
            <w:r>
              <w:rPr>
                <w:rFonts w:ascii="Segoe UI" w:hAnsi="Segoe UI"/>
                <w:color w:val="1E293B"/>
                <w:sz w:val="18"/>
              </w:rPr>
              <w:t>0.9524</w:t>
            </w:r>
          </w:p>
        </w:tc>
        <w:tc>
          <w:tcPr>
            <w:tcW w:type="dxa" w:w="1584"/>
            <w:shd w:fill="FFFFFF"/>
            <w:tcMar>
              <w:top w:w="100" w:type="dxa"/>
              <w:bottom w:w="100" w:type="dxa"/>
              <w:left w:w="160" w:type="dxa"/>
              <w:right w:w="160" w:type="dxa"/>
            </w:tcMar>
            <w:vAlign w:val="center"/>
          </w:tcPr>
          <w:p>
            <w:r>
              <w:rPr>
                <w:rFonts w:ascii="Segoe UI" w:hAnsi="Segoe UI"/>
                <w:color w:val="1E293B"/>
                <w:sz w:val="18"/>
              </w:rPr>
              <w:t>0.8889</w:t>
            </w:r>
          </w:p>
        </w:tc>
        <w:tc>
          <w:tcPr>
            <w:tcW w:type="dxa" w:w="2016"/>
            <w:shd w:fill="FFFFFF"/>
            <w:tcMar>
              <w:top w:w="100" w:type="dxa"/>
              <w:bottom w:w="100" w:type="dxa"/>
              <w:left w:w="160" w:type="dxa"/>
              <w:right w:w="160" w:type="dxa"/>
            </w:tcMar>
            <w:vAlign w:val="center"/>
          </w:tcPr>
          <w:p>
            <w:r>
              <w:rPr>
                <w:rFonts w:ascii="Segoe UI" w:hAnsi="Segoe UI"/>
                <w:color w:val="1E293B"/>
                <w:sz w:val="18"/>
              </w:rPr>
              <w:t>147</w:t>
            </w:r>
          </w:p>
        </w:tc>
      </w:tr>
      <w:tr>
        <w:tc>
          <w:tcPr>
            <w:tcW w:type="dxa" w:w="2592"/>
            <w:shd w:fill="F0FDF4"/>
            <w:tcMar>
              <w:top w:w="100" w:type="dxa"/>
              <w:bottom w:w="100" w:type="dxa"/>
              <w:left w:w="160" w:type="dxa"/>
              <w:right w:w="160" w:type="dxa"/>
            </w:tcMar>
            <w:vAlign w:val="center"/>
          </w:tcPr>
          <w:p>
            <w:r>
              <w:rPr>
                <w:rFonts w:ascii="Segoe UI" w:hAnsi="Segoe UI"/>
                <w:color w:val="1E293B"/>
                <w:sz w:val="18"/>
              </w:rPr>
              <w:t>Overall Benchmark Summary</w:t>
            </w:r>
          </w:p>
        </w:tc>
        <w:tc>
          <w:tcPr>
            <w:tcW w:type="dxa" w:w="1584"/>
            <w:shd w:fill="F0FDF4"/>
            <w:tcMar>
              <w:top w:w="100" w:type="dxa"/>
              <w:bottom w:w="100" w:type="dxa"/>
              <w:left w:w="160" w:type="dxa"/>
              <w:right w:w="160" w:type="dxa"/>
            </w:tcMar>
            <w:vAlign w:val="center"/>
          </w:tcPr>
          <w:p>
            <w:r>
              <w:rPr>
                <w:rFonts w:ascii="Segoe UI" w:hAnsi="Segoe UI"/>
                <w:color w:val="1E293B"/>
                <w:sz w:val="18"/>
              </w:rPr>
              <w:t>Macro: 0.866</w:t>
            </w:r>
          </w:p>
        </w:tc>
        <w:tc>
          <w:tcPr>
            <w:tcW w:type="dxa" w:w="1584"/>
            <w:shd w:fill="F0FDF4"/>
            <w:tcMar>
              <w:top w:w="100" w:type="dxa"/>
              <w:bottom w:w="100" w:type="dxa"/>
              <w:left w:w="160" w:type="dxa"/>
              <w:right w:w="160" w:type="dxa"/>
            </w:tcMar>
            <w:vAlign w:val="center"/>
          </w:tcPr>
          <w:p>
            <w:r>
              <w:rPr>
                <w:rFonts w:ascii="Segoe UI" w:hAnsi="Segoe UI"/>
                <w:color w:val="1E293B"/>
                <w:sz w:val="18"/>
              </w:rPr>
              <w:t>Macro: 0.891</w:t>
            </w:r>
          </w:p>
        </w:tc>
        <w:tc>
          <w:tcPr>
            <w:tcW w:type="dxa" w:w="1584"/>
            <w:shd w:fill="F0FDF4"/>
            <w:tcMar>
              <w:top w:w="100" w:type="dxa"/>
              <w:bottom w:w="100" w:type="dxa"/>
              <w:left w:w="160" w:type="dxa"/>
              <w:right w:w="160" w:type="dxa"/>
            </w:tcMar>
            <w:vAlign w:val="center"/>
          </w:tcPr>
          <w:p>
            <w:r>
              <w:rPr>
                <w:rFonts w:ascii="Segoe UI" w:hAnsi="Segoe UI"/>
                <w:color w:val="1E293B"/>
                <w:sz w:val="18"/>
              </w:rPr>
              <w:t>Macro: 0.874</w:t>
            </w:r>
          </w:p>
        </w:tc>
        <w:tc>
          <w:tcPr>
            <w:tcW w:type="dxa" w:w="2016"/>
            <w:shd w:fill="F0FDF4"/>
            <w:tcMar>
              <w:top w:w="100" w:type="dxa"/>
              <w:bottom w:w="100" w:type="dxa"/>
              <w:left w:w="160" w:type="dxa"/>
              <w:right w:w="160" w:type="dxa"/>
            </w:tcMar>
            <w:vAlign w:val="center"/>
          </w:tcPr>
          <w:p>
            <w:r>
              <w:rPr>
                <w:rFonts w:ascii="Segoe UI" w:hAnsi="Segoe UI"/>
                <w:color w:val="1E293B"/>
                <w:sz w:val="18"/>
              </w:rPr>
              <w:t>Total: 871 (89.9%)</w:t>
            </w:r>
          </w:p>
        </w:tc>
      </w:tr>
    </w:tbl>
    <w:p>
      <w:pPr>
        <w:spacing w:after="80"/>
      </w:pPr>
    </w:p>
    <w:p>
      <w:pPr>
        <w:keepNext/>
        <w:spacing w:before="400" w:after="160"/>
      </w:pPr>
      <w:r>
        <w:rPr>
          <w:rFonts w:ascii="Segoe UI" w:hAnsi="Segoe UI"/>
          <w:b/>
          <w:color w:val="0F5132"/>
          <w:sz w:val="32"/>
        </w:rPr>
        <w:t>Chapter 6: Full-Stack Software Engineering &amp; Microservices Architecture</w:t>
      </w:r>
    </w:p>
    <w:p>
      <w:r>
        <w:t>The software platform was engineered as a decoupled, microservices-oriented full-stack web application designed for instant response times, high concurrent throughput, and local standalone execution via START_DASHBOARD.bat.</w:t>
      </w:r>
    </w:p>
    <w:p>
      <w:pPr>
        <w:keepNext/>
        <w:spacing w:before="280" w:after="120"/>
      </w:pPr>
      <w:r>
        <w:rPr>
          <w:rFonts w:ascii="Segoe UI" w:hAnsi="Segoe UI"/>
          <w:b/>
          <w:color w:val="198754"/>
          <w:sz w:val="26"/>
        </w:rPr>
        <w:t>6.1 Backend Architecture (FastAPI &amp; PyTorch Singleton)</w:t>
      </w:r>
    </w:p>
    <w:p>
      <w:r>
        <w:t>The backend service is built on FastAPI running under Uvicorn ASGI on port 8000. Key engineering components include:</w:t>
      </w:r>
    </w:p>
    <w:p>
      <w:pPr>
        <w:pStyle w:val="ListBullet"/>
        <w:spacing w:after="80" w:line="276" w:lineRule="auto"/>
      </w:pPr>
      <w:r>
        <w:rPr>
          <w:rFonts w:ascii="Segoe UI" w:hAnsi="Segoe UI"/>
          <w:b/>
          <w:color w:val="0F5132"/>
        </w:rPr>
        <w:t xml:space="preserve">In-Memory Singleton Model Service: </w:t>
      </w:r>
      <w:r>
        <w:rPr>
          <w:rFonts w:ascii="Segoe UI" w:hAnsi="Segoe UI"/>
          <w:color w:val="1E293B"/>
        </w:rPr>
        <w:t>PyTorch weights (MobileNetV2) are loaded into CPU memory once at application startup (model_service.py). Subsequent inference calls process input PIL images via TorchVision transforms in ~45ms without reloading model weights.</w:t>
      </w:r>
    </w:p>
    <w:p>
      <w:pPr>
        <w:pStyle w:val="ListBullet"/>
        <w:spacing w:after="80" w:line="276" w:lineRule="auto"/>
      </w:pPr>
      <w:r>
        <w:rPr>
          <w:rFonts w:ascii="Segoe UI" w:hAnsi="Segoe UI"/>
          <w:b/>
          <w:color w:val="0F5132"/>
        </w:rPr>
        <w:t xml:space="preserve">Asynchronous HTTP Clients: </w:t>
      </w:r>
      <w:r>
        <w:rPr>
          <w:rFonts w:ascii="Segoe UI" w:hAnsi="Segoe UI"/>
          <w:color w:val="1E293B"/>
        </w:rPr>
        <w:t>httpx.AsyncClient handles non-blocking queries to external APIs (Open-Meteo, ISRIC SoilGrids) with strict 6–8 second timeouts and automated baseline fallbacks.</w:t>
      </w:r>
    </w:p>
    <w:p>
      <w:pPr>
        <w:pStyle w:val="ListBullet"/>
        <w:spacing w:after="80" w:line="276" w:lineRule="auto"/>
      </w:pPr>
      <w:r>
        <w:rPr>
          <w:rFonts w:ascii="Segoe UI" w:hAnsi="Segoe UI"/>
          <w:b/>
          <w:color w:val="0F5132"/>
        </w:rPr>
        <w:t xml:space="preserve">SQLite Persistence Layer: </w:t>
      </w:r>
      <w:r>
        <w:rPr>
          <w:rFonts w:ascii="Segoe UI" w:hAnsi="Segoe UI"/>
          <w:color w:val="1E293B"/>
        </w:rPr>
        <w:t>A lightweight relational database (cotton_farms.db) logs user farm coordinates, historical diagnoses, and suitability assessments (routes_farms.py).</w:t>
      </w:r>
    </w:p>
    <w:p>
      <w:pPr>
        <w:pStyle w:val="ListBullet"/>
        <w:spacing w:after="80" w:line="276" w:lineRule="auto"/>
      </w:pPr>
      <w:r>
        <w:rPr>
          <w:rFonts w:ascii="Segoe UI" w:hAnsi="Segoe UI"/>
          <w:b/>
          <w:color w:val="0F5132"/>
        </w:rPr>
        <w:t xml:space="preserve">OpenAPI / Swagger Documentation: </w:t>
      </w:r>
      <w:r>
        <w:rPr>
          <w:rFonts w:ascii="Segoe UI" w:hAnsi="Segoe UI"/>
          <w:color w:val="1E293B"/>
        </w:rPr>
        <w:t>Self-documenting interactive API documentation served automatically at /docs.</w:t>
      </w:r>
    </w:p>
    <w:p>
      <w:pPr>
        <w:keepNext/>
        <w:spacing w:before="280" w:after="120"/>
      </w:pPr>
      <w:r>
        <w:rPr>
          <w:rFonts w:ascii="Segoe UI" w:hAnsi="Segoe UI"/>
          <w:b/>
          <w:color w:val="198754"/>
          <w:sz w:val="26"/>
        </w:rPr>
        <w:t>6.2 Frontend Architecture (React 18, Vite &amp; Leaflet GIS)</w:t>
      </w:r>
    </w:p>
    <w:p>
      <w:r>
        <w:t>The client interface is built with React 18, TypeScript, and the Vite bundler on port 5173. Architectural highlights include:</w:t>
      </w:r>
    </w:p>
    <w:p>
      <w:pPr>
        <w:pStyle w:val="ListBullet"/>
        <w:spacing w:after="80" w:line="276" w:lineRule="auto"/>
      </w:pPr>
      <w:r>
        <w:rPr>
          <w:rFonts w:ascii="Segoe UI" w:hAnsi="Segoe UI"/>
          <w:b/>
          <w:color w:val="0F5132"/>
        </w:rPr>
        <w:t xml:space="preserve">Component State Management: </w:t>
      </w:r>
      <w:r>
        <w:rPr>
          <w:rFonts w:ascii="Segoe UI" w:hAnsi="Segoe UI"/>
          <w:color w:val="1E293B"/>
        </w:rPr>
        <w:t>Pure reactive state hooks manage active viewport pages (overview, map, health, market), map layer selection, and asynchronous file uploads.</w:t>
      </w:r>
    </w:p>
    <w:p>
      <w:pPr>
        <w:pStyle w:val="ListBullet"/>
        <w:spacing w:after="80" w:line="276" w:lineRule="auto"/>
      </w:pPr>
      <w:r>
        <w:rPr>
          <w:rFonts w:ascii="Segoe UI" w:hAnsi="Segoe UI"/>
          <w:b/>
          <w:color w:val="0F5132"/>
        </w:rPr>
        <w:t xml:space="preserve">Leaflet Interactive Mapping: </w:t>
      </w:r>
      <w:r>
        <w:rPr>
          <w:rFonts w:ascii="Segoe UI" w:hAnsi="Segoe UI"/>
          <w:color w:val="1E293B"/>
        </w:rPr>
        <w:t>React-Leaflet container with smooth fly-to animations (MapFlyController), custom circular suitability zones, and marker click listeners.</w:t>
      </w:r>
    </w:p>
    <w:p>
      <w:pPr>
        <w:pStyle w:val="ListBullet"/>
        <w:spacing w:after="80" w:line="276" w:lineRule="auto"/>
      </w:pPr>
      <w:r>
        <w:rPr>
          <w:rFonts w:ascii="Segoe UI" w:hAnsi="Segoe UI"/>
          <w:b/>
          <w:color w:val="0F5132"/>
        </w:rPr>
        <w:t xml:space="preserve">Recharts SVG Visualizations: </w:t>
      </w:r>
      <w:r>
        <w:rPr>
          <w:rFonts w:ascii="Segoe UI" w:hAnsi="Segoe UI"/>
          <w:color w:val="1E293B"/>
        </w:rPr>
        <w:t>Responsive SVG area charts and bar charts rendering historical mandi trends and taluka factor indices.</w:t>
      </w:r>
    </w:p>
    <w:p>
      <w:pPr>
        <w:pStyle w:val="ListBullet"/>
        <w:spacing w:after="80" w:line="276" w:lineRule="auto"/>
      </w:pPr>
      <w:r>
        <w:rPr>
          <w:rFonts w:ascii="Segoe UI" w:hAnsi="Segoe UI"/>
          <w:b/>
          <w:color w:val="0F5132"/>
        </w:rPr>
        <w:t xml:space="preserve">Authentic Cotton Design System: </w:t>
      </w:r>
      <w:r>
        <w:rPr>
          <w:rFonts w:ascii="Segoe UI" w:hAnsi="Segoe UI"/>
          <w:color w:val="1E293B"/>
        </w:rPr>
        <w:t>Modern dark emerald glassmorphism palette (#0A140E, #13241A, #10B981) with high visual polish, micro-animations, and bilingual Marathi typography.</w:t>
      </w:r>
    </w:p>
    <w:p>
      <w:pPr>
        <w:keepNext/>
        <w:spacing w:before="400" w:after="160"/>
      </w:pPr>
      <w:r>
        <w:rPr>
          <w:rFonts w:ascii="Segoe UI" w:hAnsi="Segoe UI"/>
          <w:b/>
          <w:color w:val="0F5132"/>
          <w:sz w:val="32"/>
        </w:rPr>
        <w:t>Chapter 7: Operational Dashboard Walkthrough &amp; Verification</w:t>
      </w:r>
    </w:p>
    <w:p>
      <w:r>
        <w:t>This chapter presents verified screenshots of the running platform, documenting the functional capabilities of each module.</w:t>
      </w:r>
    </w:p>
    <w:p>
      <w:pPr>
        <w:keepNext/>
        <w:spacing w:before="280" w:after="120"/>
      </w:pPr>
      <w:r>
        <w:rPr>
          <w:rFonts w:ascii="Segoe UI" w:hAnsi="Segoe UI"/>
          <w:b/>
          <w:color w:val="198754"/>
          <w:sz w:val="26"/>
        </w:rPr>
        <w:t>7.1 Module 1: Executive Farm Overview</w:t>
      </w:r>
    </w:p>
    <w:p>
      <w:r>
        <w:t>The Overview module provides high-level situational awareness for farmers, village sarpanchs, and District Agricultural Officers (DAO). It visualizes the active Kharif cotton crop life cycle (Sowing → Vegetative → Flowering → Boll Stage → Picking), monitors 1.87 Lakh Hectares under cultivation, and displays daily Dhule APMC rates (₹7,250/Qtl) alongside Government MSP (₹7,121/Qtl).</w:t>
      </w:r>
    </w:p>
    <w:p>
      <w:pPr>
        <w:spacing w:before="200" w:after="8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01_dashboard_overview.png"/>
                    <pic:cNvPicPr/>
                  </pic:nvPicPr>
                  <pic:blipFill>
                    <a:blip r:embed="rId9"/>
                    <a:stretch>
                      <a:fillRect/>
                    </a:stretch>
                  </pic:blipFill>
                  <pic:spPr>
                    <a:xfrm>
                      <a:off x="0" y="0"/>
                      <a:ext cx="5669280" cy="3401568"/>
                    </a:xfrm>
                    <a:prstGeom prst="rect"/>
                  </pic:spPr>
                </pic:pic>
              </a:graphicData>
            </a:graphic>
          </wp:inline>
        </w:drawing>
      </w:r>
    </w:p>
    <w:p>
      <w:pPr>
        <w:spacing w:after="240"/>
        <w:jc w:val="center"/>
      </w:pPr>
      <w:r>
        <w:rPr>
          <w:i/>
          <w:color w:val="64748B"/>
          <w:sz w:val="18"/>
        </w:rPr>
        <w:t>Figure 7.1: Executive Farm Overview Dashboard displaying Kharif crop timeline, APMC live rates, price trend, and Taluka Suitability Index.</w:t>
      </w:r>
    </w:p>
    <w:p>
      <w:pPr>
        <w:keepNext/>
        <w:spacing w:before="280" w:after="120"/>
      </w:pPr>
      <w:r>
        <w:rPr>
          <w:rFonts w:ascii="Segoe UI" w:hAnsi="Segoe UI"/>
          <w:b/>
          <w:color w:val="198754"/>
          <w:sz w:val="26"/>
        </w:rPr>
        <w:t>7.2 Module 2: Agro-Ecological GIS Suitability Map</w:t>
      </w:r>
    </w:p>
    <w:p>
      <w:r>
        <w:t>The GIS Suitability module allows farmers to click on any field in Dhule district to auto-populate exact GPS coordinates. The backend executes real-time Open-Meteo weather analysis and ISRIC SoilGrids extraction, computing an overall suitability score (e.g. 82/100 Potentially Suitable) with itemized factor scores for Ambient Temperature (34.1°C), Soil pH (8.1), and Vertisol clay fraction.</w:t>
      </w:r>
    </w:p>
    <w:p>
      <w:pPr>
        <w:spacing w:before="200" w:after="80"/>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02_dashboard_suitability_map.png"/>
                    <pic:cNvPicPr/>
                  </pic:nvPicPr>
                  <pic:blipFill>
                    <a:blip r:embed="rId10"/>
                    <a:stretch>
                      <a:fillRect/>
                    </a:stretch>
                  </pic:blipFill>
                  <pic:spPr>
                    <a:xfrm>
                      <a:off x="0" y="0"/>
                      <a:ext cx="5669280" cy="3401568"/>
                    </a:xfrm>
                    <a:prstGeom prst="rect"/>
                  </pic:spPr>
                </pic:pic>
              </a:graphicData>
            </a:graphic>
          </wp:inline>
        </w:drawing>
      </w:r>
    </w:p>
    <w:p>
      <w:pPr>
        <w:spacing w:after="240"/>
        <w:jc w:val="center"/>
      </w:pPr>
      <w:r>
        <w:rPr>
          <w:i/>
          <w:color w:val="64748B"/>
          <w:sz w:val="18"/>
        </w:rPr>
        <w:t>Figure 7.2: Google GIS Suitability Map showing color-coded taluka buffer zones and real-time multi-factor suitability assessment.</w:t>
      </w:r>
    </w:p>
    <w:p>
      <w:pPr>
        <w:spacing w:before="200" w:after="80"/>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02b_dashboard_satellite_map.png"/>
                    <pic:cNvPicPr/>
                  </pic:nvPicPr>
                  <pic:blipFill>
                    <a:blip r:embed="rId11"/>
                    <a:stretch>
                      <a:fillRect/>
                    </a:stretch>
                  </pic:blipFill>
                  <pic:spPr>
                    <a:xfrm>
                      <a:off x="0" y="0"/>
                      <a:ext cx="5669280" cy="3401568"/>
                    </a:xfrm>
                    <a:prstGeom prst="rect"/>
                  </pic:spPr>
                </pic:pic>
              </a:graphicData>
            </a:graphic>
          </wp:inline>
        </w:drawing>
      </w:r>
    </w:p>
    <w:p>
      <w:pPr>
        <w:spacing w:after="240"/>
        <w:jc w:val="center"/>
      </w:pPr>
      <w:r>
        <w:rPr>
          <w:i/>
          <w:color w:val="64748B"/>
          <w:sz w:val="18"/>
        </w:rPr>
        <w:t>Figure 7.3: High-resolution Google Satellite Farmland mode visualizing vegetative field tracts and rural road networks in Dhule.</w:t>
      </w:r>
    </w:p>
    <w:p>
      <w:pPr>
        <w:keepNext/>
        <w:spacing w:before="280" w:after="120"/>
      </w:pPr>
      <w:r>
        <w:rPr>
          <w:rFonts w:ascii="Segoe UI" w:hAnsi="Segoe UI"/>
          <w:b/>
          <w:color w:val="198754"/>
          <w:sz w:val="26"/>
        </w:rPr>
        <w:t>7.3 Module 3: AI Point-of-Care Leaf Disease Diagnostic Engine</w:t>
      </w:r>
    </w:p>
    <w:p>
      <w:r>
        <w:t>The Leaf Health AI module accepts leaf closeups via drag-and-drop or smartphone camera. In Figure 7.4, a test sample of Powdery Mildew is analyzed: the model returns the detected condition with 62.2% confidence, provides a ranked top-3 probability distribution (Powdery Mildew 62.2%, Target Spot 14.7%, Healthy Leaf 10.0%), and prescribes immediate agronomic treatment.</w:t>
      </w:r>
    </w:p>
    <w:p>
      <w:pPr>
        <w:spacing w:before="200" w:after="80"/>
        <w:jc w:val="center"/>
      </w:pPr>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03_dashboard_leaf_health_ai.png"/>
                    <pic:cNvPicPr/>
                  </pic:nvPicPr>
                  <pic:blipFill>
                    <a:blip r:embed="rId12"/>
                    <a:stretch>
                      <a:fillRect/>
                    </a:stretch>
                  </pic:blipFill>
                  <pic:spPr>
                    <a:xfrm>
                      <a:off x="0" y="0"/>
                      <a:ext cx="5669280" cy="3401568"/>
                    </a:xfrm>
                    <a:prstGeom prst="rect"/>
                  </pic:spPr>
                </pic:pic>
              </a:graphicData>
            </a:graphic>
          </wp:inline>
        </w:drawing>
      </w:r>
    </w:p>
    <w:p>
      <w:pPr>
        <w:spacing w:after="240"/>
        <w:jc w:val="center"/>
      </w:pPr>
      <w:r>
        <w:rPr>
          <w:i/>
          <w:color w:val="64748B"/>
          <w:sz w:val="18"/>
        </w:rPr>
        <w:t>Figure 7.4: Leaf Health AI diagnosis displaying predicted disease, severity rating, confidence %, top-3 breakdown, and chemical remedies.</w:t>
      </w:r>
    </w:p>
    <w:p>
      <w:pPr>
        <w:keepNext/>
        <w:spacing w:before="280" w:after="120"/>
      </w:pPr>
      <w:r>
        <w:rPr>
          <w:rFonts w:ascii="Segoe UI" w:hAnsi="Segoe UI"/>
          <w:b/>
          <w:color w:val="198754"/>
          <w:sz w:val="26"/>
        </w:rPr>
        <w:t>7.4 Module 4: APMC Mandi Market Intelligence &amp; Price Optimization</w:t>
      </w:r>
    </w:p>
    <w:p>
      <w:r>
        <w:t>The Market Prices module provides daily auction rates across major Khandesh trading hubs (Dhule APMC ₹7,250, Shirpur APMC ₹7,180, Jalgaon ₹7,320, Akola ₹7,400). It highlights the +₹129 premium over Government MSP and offers moisture management strategies.</w:t>
      </w:r>
    </w:p>
    <w:p>
      <w:pPr>
        <w:spacing w:before="200" w:after="80"/>
        <w:jc w:val="center"/>
      </w:pPr>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04_dashboard_mandi_prices.png"/>
                    <pic:cNvPicPr/>
                  </pic:nvPicPr>
                  <pic:blipFill>
                    <a:blip r:embed="rId13"/>
                    <a:stretch>
                      <a:fillRect/>
                    </a:stretch>
                  </pic:blipFill>
                  <pic:spPr>
                    <a:xfrm>
                      <a:off x="0" y="0"/>
                      <a:ext cx="5669280" cy="3401568"/>
                    </a:xfrm>
                    <a:prstGeom prst="rect"/>
                  </pic:spPr>
                </pic:pic>
              </a:graphicData>
            </a:graphic>
          </wp:inline>
        </w:drawing>
      </w:r>
    </w:p>
    <w:p>
      <w:pPr>
        <w:spacing w:after="240"/>
        <w:jc w:val="center"/>
      </w:pPr>
      <w:r>
        <w:rPr>
          <w:i/>
          <w:color w:val="64748B"/>
          <w:sz w:val="18"/>
        </w:rPr>
        <w:t>Figure 7.5: APMC Mandi Market Intelligence dashboard displaying auction comparisons, MSP trackers, and farmer selling strategies.</w:t>
      </w:r>
    </w:p>
    <w:p>
      <w:pPr>
        <w:keepNext/>
        <w:spacing w:before="400" w:after="160"/>
      </w:pPr>
      <w:r>
        <w:rPr>
          <w:rFonts w:ascii="Segoe UI" w:hAnsi="Segoe UI"/>
          <w:b/>
          <w:color w:val="0F5132"/>
          <w:sz w:val="32"/>
        </w:rPr>
        <w:t>Chapter 8: Comprehensive Agronomic Prescriptions &amp; Extension Advisory</w:t>
      </w:r>
    </w:p>
    <w:p>
      <w:r>
        <w:t>To translate neural network predictions into actionable on-farm interventions, the platform embeds an agronomic knowledge base aligned with the recommendations of Krishi Vigyan Kendra (KVK Dhule) and Mahatma Phule Krishi Vidyapeeth (MPKV Rahuri):</w:t>
      </w:r>
    </w:p>
    <w:tbl>
      <w:tblPr>
        <w:tblW w:type="auto" w:w="0"/>
        <w:jc w:val="center"/>
        <w:tblLook w:firstColumn="1" w:firstRow="1" w:lastColumn="0" w:lastRow="0" w:noHBand="0" w:noVBand="1" w:val="04A0"/>
      </w:tblPr>
      <w:tblGrid>
        <w:gridCol w:w="2340"/>
        <w:gridCol w:w="2340"/>
        <w:gridCol w:w="2340"/>
        <w:gridCol w:w="2340"/>
      </w:tblGrid>
      <w:tr>
        <w:tc>
          <w:tcPr>
            <w:tcW w:type="dxa" w:w="2160"/>
            <w:shd w:fill="0F5132"/>
            <w:tcMar>
              <w:top w:w="140" w:type="dxa"/>
              <w:bottom w:w="140" w:type="dxa"/>
              <w:left w:w="160" w:type="dxa"/>
              <w:right w:w="160" w:type="dxa"/>
            </w:tcMar>
            <w:vAlign w:val="center"/>
          </w:tcPr>
          <w:p>
            <w:pPr>
              <w:jc w:val="left"/>
            </w:pPr>
            <w:r>
              <w:t>Pathology / Pest</w:t>
            </w:r>
          </w:p>
        </w:tc>
        <w:tc>
          <w:tcPr>
            <w:tcW w:type="dxa" w:w="2160"/>
            <w:shd w:fill="0F5132"/>
            <w:tcMar>
              <w:top w:w="140" w:type="dxa"/>
              <w:bottom w:w="140" w:type="dxa"/>
              <w:left w:w="160" w:type="dxa"/>
              <w:right w:w="160" w:type="dxa"/>
            </w:tcMar>
            <w:vAlign w:val="center"/>
          </w:tcPr>
          <w:p>
            <w:pPr>
              <w:jc w:val="left"/>
            </w:pPr>
            <w:r>
              <w:t>Causal Organism</w:t>
            </w:r>
          </w:p>
        </w:tc>
        <w:tc>
          <w:tcPr>
            <w:tcW w:type="dxa" w:w="2880"/>
            <w:shd w:fill="0F5132"/>
            <w:tcMar>
              <w:top w:w="140" w:type="dxa"/>
              <w:bottom w:w="140" w:type="dxa"/>
              <w:left w:w="160" w:type="dxa"/>
              <w:right w:w="160" w:type="dxa"/>
            </w:tcMar>
            <w:vAlign w:val="center"/>
          </w:tcPr>
          <w:p>
            <w:pPr>
              <w:jc w:val="left"/>
            </w:pPr>
            <w:r>
              <w:t>Curative Chemical Spray Advisory</w:t>
            </w:r>
          </w:p>
        </w:tc>
        <w:tc>
          <w:tcPr>
            <w:tcW w:type="dxa" w:w="2160"/>
            <w:shd w:fill="0F5132"/>
            <w:tcMar>
              <w:top w:w="140" w:type="dxa"/>
              <w:bottom w:w="140" w:type="dxa"/>
              <w:left w:w="160" w:type="dxa"/>
              <w:right w:w="160" w:type="dxa"/>
            </w:tcMar>
            <w:vAlign w:val="center"/>
          </w:tcPr>
          <w:p>
            <w:pPr>
              <w:jc w:val="left"/>
            </w:pPr>
            <w:r>
              <w:t>Preventive / Cultural Measures</w:t>
            </w:r>
          </w:p>
        </w:tc>
      </w:tr>
      <w:tr>
        <w:tc>
          <w:tcPr>
            <w:tcW w:type="dxa" w:w="2160"/>
            <w:shd w:fill="FFFFFF"/>
            <w:tcMar>
              <w:top w:w="100" w:type="dxa"/>
              <w:bottom w:w="100" w:type="dxa"/>
              <w:left w:w="160" w:type="dxa"/>
              <w:right w:w="160" w:type="dxa"/>
            </w:tcMar>
            <w:vAlign w:val="center"/>
          </w:tcPr>
          <w:p>
            <w:r>
              <w:rPr>
                <w:rFonts w:ascii="Segoe UI" w:hAnsi="Segoe UI"/>
                <w:color w:val="1E293B"/>
                <w:sz w:val="18"/>
              </w:rPr>
              <w:t>Alternaria Leaf Spot</w:t>
            </w:r>
          </w:p>
        </w:tc>
        <w:tc>
          <w:tcPr>
            <w:tcW w:type="dxa" w:w="2160"/>
            <w:shd w:fill="FFFFFF"/>
            <w:tcMar>
              <w:top w:w="100" w:type="dxa"/>
              <w:bottom w:w="100" w:type="dxa"/>
              <w:left w:w="160" w:type="dxa"/>
              <w:right w:w="160" w:type="dxa"/>
            </w:tcMar>
            <w:vAlign w:val="center"/>
          </w:tcPr>
          <w:p>
            <w:r>
              <w:rPr>
                <w:rFonts w:ascii="Segoe UI" w:hAnsi="Segoe UI"/>
                <w:color w:val="1E293B"/>
                <w:sz w:val="18"/>
              </w:rPr>
              <w:t>Alternaria macrospora (Fungus)</w:t>
            </w:r>
          </w:p>
        </w:tc>
        <w:tc>
          <w:tcPr>
            <w:tcW w:type="dxa" w:w="2880"/>
            <w:shd w:fill="FFFFFF"/>
            <w:tcMar>
              <w:top w:w="100" w:type="dxa"/>
              <w:bottom w:w="100" w:type="dxa"/>
              <w:left w:w="160" w:type="dxa"/>
              <w:right w:w="160" w:type="dxa"/>
            </w:tcMar>
            <w:vAlign w:val="center"/>
          </w:tcPr>
          <w:p>
            <w:r>
              <w:rPr>
                <w:rFonts w:ascii="Segoe UI" w:hAnsi="Segoe UI"/>
                <w:color w:val="1E293B"/>
                <w:sz w:val="18"/>
              </w:rPr>
              <w:t>Mancozeb 75 WP @ 2.5 g/L or Propiconazole 25 EC @ 1 ml/L water</w:t>
            </w:r>
          </w:p>
        </w:tc>
        <w:tc>
          <w:tcPr>
            <w:tcW w:type="dxa" w:w="2160"/>
            <w:shd w:fill="FFFFFF"/>
            <w:tcMar>
              <w:top w:w="100" w:type="dxa"/>
              <w:bottom w:w="100" w:type="dxa"/>
              <w:left w:w="160" w:type="dxa"/>
              <w:right w:w="160" w:type="dxa"/>
            </w:tcMar>
            <w:vAlign w:val="center"/>
          </w:tcPr>
          <w:p>
            <w:r>
              <w:rPr>
                <w:rFonts w:ascii="Segoe UI" w:hAnsi="Segoe UI"/>
                <w:color w:val="1E293B"/>
                <w:sz w:val="18"/>
              </w:rPr>
              <w:t>Destroy crop residues; avoid late evening sprinkler irrigation; 3-year crop rotation.</w:t>
            </w:r>
          </w:p>
        </w:tc>
      </w:tr>
      <w:tr>
        <w:tc>
          <w:tcPr>
            <w:tcW w:type="dxa" w:w="2160"/>
            <w:shd w:fill="F0FDF4"/>
            <w:tcMar>
              <w:top w:w="100" w:type="dxa"/>
              <w:bottom w:w="100" w:type="dxa"/>
              <w:left w:w="160" w:type="dxa"/>
              <w:right w:w="160" w:type="dxa"/>
            </w:tcMar>
            <w:vAlign w:val="center"/>
          </w:tcPr>
          <w:p>
            <w:r>
              <w:rPr>
                <w:rFonts w:ascii="Segoe UI" w:hAnsi="Segoe UI"/>
                <w:color w:val="1E293B"/>
                <w:sz w:val="18"/>
              </w:rPr>
              <w:t>Cotton Aphids (मावा)</w:t>
            </w:r>
          </w:p>
        </w:tc>
        <w:tc>
          <w:tcPr>
            <w:tcW w:type="dxa" w:w="2160"/>
            <w:shd w:fill="F0FDF4"/>
            <w:tcMar>
              <w:top w:w="100" w:type="dxa"/>
              <w:bottom w:w="100" w:type="dxa"/>
              <w:left w:w="160" w:type="dxa"/>
              <w:right w:w="160" w:type="dxa"/>
            </w:tcMar>
            <w:vAlign w:val="center"/>
          </w:tcPr>
          <w:p>
            <w:r>
              <w:rPr>
                <w:rFonts w:ascii="Segoe UI" w:hAnsi="Segoe UI"/>
                <w:color w:val="1E293B"/>
                <w:sz w:val="18"/>
              </w:rPr>
              <w:t>Aphis gossypii (Sucking Pest)</w:t>
            </w:r>
          </w:p>
        </w:tc>
        <w:tc>
          <w:tcPr>
            <w:tcW w:type="dxa" w:w="2880"/>
            <w:shd w:fill="F0FDF4"/>
            <w:tcMar>
              <w:top w:w="100" w:type="dxa"/>
              <w:bottom w:w="100" w:type="dxa"/>
              <w:left w:w="160" w:type="dxa"/>
              <w:right w:w="160" w:type="dxa"/>
            </w:tcMar>
            <w:vAlign w:val="center"/>
          </w:tcPr>
          <w:p>
            <w:r>
              <w:rPr>
                <w:rFonts w:ascii="Segoe UI" w:hAnsi="Segoe UI"/>
                <w:color w:val="1E293B"/>
                <w:sz w:val="18"/>
              </w:rPr>
              <w:t>Imidacloprid 17.8 SL @ 0.25 ml/L or Flonicamid 50 WG @ 0.3 g/L</w:t>
            </w:r>
          </w:p>
        </w:tc>
        <w:tc>
          <w:tcPr>
            <w:tcW w:type="dxa" w:w="2160"/>
            <w:shd w:fill="F0FDF4"/>
            <w:tcMar>
              <w:top w:w="100" w:type="dxa"/>
              <w:bottom w:w="100" w:type="dxa"/>
              <w:left w:w="160" w:type="dxa"/>
              <w:right w:w="160" w:type="dxa"/>
            </w:tcMar>
            <w:vAlign w:val="center"/>
          </w:tcPr>
          <w:p>
            <w:r>
              <w:rPr>
                <w:rFonts w:ascii="Segoe UI" w:hAnsi="Segoe UI"/>
                <w:color w:val="1E293B"/>
                <w:sz w:val="18"/>
              </w:rPr>
              <w:t>Install yellow sticky traps @ 15-20/acre; release Coccinella ladybird beetles.</w:t>
            </w:r>
          </w:p>
        </w:tc>
      </w:tr>
      <w:tr>
        <w:tc>
          <w:tcPr>
            <w:tcW w:type="dxa" w:w="2160"/>
            <w:shd w:fill="FFFFFF"/>
            <w:tcMar>
              <w:top w:w="100" w:type="dxa"/>
              <w:bottom w:w="100" w:type="dxa"/>
              <w:left w:w="160" w:type="dxa"/>
              <w:right w:w="160" w:type="dxa"/>
            </w:tcMar>
            <w:vAlign w:val="center"/>
          </w:tcPr>
          <w:p>
            <w:r>
              <w:rPr>
                <w:rFonts w:ascii="Segoe UI" w:hAnsi="Segoe UI"/>
                <w:color w:val="1E293B"/>
                <w:sz w:val="18"/>
              </w:rPr>
              <w:t>Armyworm (लष्करी अळी)</w:t>
            </w:r>
          </w:p>
        </w:tc>
        <w:tc>
          <w:tcPr>
            <w:tcW w:type="dxa" w:w="2160"/>
            <w:shd w:fill="FFFFFF"/>
            <w:tcMar>
              <w:top w:w="100" w:type="dxa"/>
              <w:bottom w:w="100" w:type="dxa"/>
              <w:left w:w="160" w:type="dxa"/>
              <w:right w:w="160" w:type="dxa"/>
            </w:tcMar>
            <w:vAlign w:val="center"/>
          </w:tcPr>
          <w:p>
            <w:r>
              <w:rPr>
                <w:rFonts w:ascii="Segoe UI" w:hAnsi="Segoe UI"/>
                <w:color w:val="1E293B"/>
                <w:sz w:val="18"/>
              </w:rPr>
              <w:t>Spodoptera litura (Larvae)</w:t>
            </w:r>
          </w:p>
        </w:tc>
        <w:tc>
          <w:tcPr>
            <w:tcW w:type="dxa" w:w="2880"/>
            <w:shd w:fill="FFFFFF"/>
            <w:tcMar>
              <w:top w:w="100" w:type="dxa"/>
              <w:bottom w:w="100" w:type="dxa"/>
              <w:left w:w="160" w:type="dxa"/>
              <w:right w:w="160" w:type="dxa"/>
            </w:tcMar>
            <w:vAlign w:val="center"/>
          </w:tcPr>
          <w:p>
            <w:r>
              <w:rPr>
                <w:rFonts w:ascii="Segoe UI" w:hAnsi="Segoe UI"/>
                <w:color w:val="1E293B"/>
                <w:sz w:val="18"/>
              </w:rPr>
              <w:t>Chlorpyrifos 20 EC @ 2.5 ml/L or Emamectin Benzoate 5 SG @ 0.5 g/L</w:t>
            </w:r>
          </w:p>
        </w:tc>
        <w:tc>
          <w:tcPr>
            <w:tcW w:type="dxa" w:w="2160"/>
            <w:shd w:fill="FFFFFF"/>
            <w:tcMar>
              <w:top w:w="100" w:type="dxa"/>
              <w:bottom w:w="100" w:type="dxa"/>
              <w:left w:w="160" w:type="dxa"/>
              <w:right w:w="160" w:type="dxa"/>
            </w:tcMar>
            <w:vAlign w:val="center"/>
          </w:tcPr>
          <w:p>
            <w:r>
              <w:rPr>
                <w:rFonts w:ascii="Segoe UI" w:hAnsi="Segoe UI"/>
                <w:color w:val="1E293B"/>
                <w:sz w:val="18"/>
              </w:rPr>
              <w:t>Deep summer ploughing; erect T-shaped bird perches @ 15/acre; pheromone traps.</w:t>
            </w:r>
          </w:p>
        </w:tc>
      </w:tr>
      <w:tr>
        <w:tc>
          <w:tcPr>
            <w:tcW w:type="dxa" w:w="2160"/>
            <w:shd w:fill="F0FDF4"/>
            <w:tcMar>
              <w:top w:w="100" w:type="dxa"/>
              <w:bottom w:w="100" w:type="dxa"/>
              <w:left w:w="160" w:type="dxa"/>
              <w:right w:w="160" w:type="dxa"/>
            </w:tcMar>
            <w:vAlign w:val="center"/>
          </w:tcPr>
          <w:p>
            <w:r>
              <w:rPr>
                <w:rFonts w:ascii="Segoe UI" w:hAnsi="Segoe UI"/>
                <w:color w:val="1E293B"/>
                <w:sz w:val="18"/>
              </w:rPr>
              <w:t>Bacterial Blight (करपा)</w:t>
            </w:r>
          </w:p>
        </w:tc>
        <w:tc>
          <w:tcPr>
            <w:tcW w:type="dxa" w:w="2160"/>
            <w:shd w:fill="F0FDF4"/>
            <w:tcMar>
              <w:top w:w="100" w:type="dxa"/>
              <w:bottom w:w="100" w:type="dxa"/>
              <w:left w:w="160" w:type="dxa"/>
              <w:right w:w="160" w:type="dxa"/>
            </w:tcMar>
            <w:vAlign w:val="center"/>
          </w:tcPr>
          <w:p>
            <w:r>
              <w:rPr>
                <w:rFonts w:ascii="Segoe UI" w:hAnsi="Segoe UI"/>
                <w:color w:val="1E293B"/>
                <w:sz w:val="18"/>
              </w:rPr>
              <w:t>Xanthomonas citri pv. malvacearum</w:t>
            </w:r>
          </w:p>
        </w:tc>
        <w:tc>
          <w:tcPr>
            <w:tcW w:type="dxa" w:w="2880"/>
            <w:shd w:fill="F0FDF4"/>
            <w:tcMar>
              <w:top w:w="100" w:type="dxa"/>
              <w:bottom w:w="100" w:type="dxa"/>
              <w:left w:w="160" w:type="dxa"/>
              <w:right w:w="160" w:type="dxa"/>
            </w:tcMar>
            <w:vAlign w:val="center"/>
          </w:tcPr>
          <w:p>
            <w:r>
              <w:rPr>
                <w:rFonts w:ascii="Segoe UI" w:hAnsi="Segoe UI"/>
                <w:color w:val="1E293B"/>
                <w:sz w:val="18"/>
              </w:rPr>
              <w:t>Copper Oxychloride 50 WP (2.5 g/L) + Streptocycline (0.5 g/L water)</w:t>
            </w:r>
          </w:p>
        </w:tc>
        <w:tc>
          <w:tcPr>
            <w:tcW w:type="dxa" w:w="2160"/>
            <w:shd w:fill="F0FDF4"/>
            <w:tcMar>
              <w:top w:w="100" w:type="dxa"/>
              <w:bottom w:w="100" w:type="dxa"/>
              <w:left w:w="160" w:type="dxa"/>
              <w:right w:w="160" w:type="dxa"/>
            </w:tcMar>
            <w:vAlign w:val="center"/>
          </w:tcPr>
          <w:p>
            <w:r>
              <w:rPr>
                <w:rFonts w:ascii="Segoe UI" w:hAnsi="Segoe UI"/>
                <w:color w:val="1E293B"/>
                <w:sz w:val="18"/>
              </w:rPr>
              <w:t>Acid-delinted certified seeds; hot water seed treatment @ 52°C for 10 min.</w:t>
            </w:r>
          </w:p>
        </w:tc>
      </w:tr>
      <w:tr>
        <w:tc>
          <w:tcPr>
            <w:tcW w:type="dxa" w:w="2160"/>
            <w:shd w:fill="FFFFFF"/>
            <w:tcMar>
              <w:top w:w="100" w:type="dxa"/>
              <w:bottom w:w="100" w:type="dxa"/>
              <w:left w:w="160" w:type="dxa"/>
              <w:right w:w="160" w:type="dxa"/>
            </w:tcMar>
            <w:vAlign w:val="center"/>
          </w:tcPr>
          <w:p>
            <w:r>
              <w:rPr>
                <w:rFonts w:ascii="Segoe UI" w:hAnsi="Segoe UI"/>
                <w:color w:val="1E293B"/>
                <w:sz w:val="18"/>
              </w:rPr>
              <w:t>Curl Virus (चुरडा-मुरडा)</w:t>
            </w:r>
          </w:p>
        </w:tc>
        <w:tc>
          <w:tcPr>
            <w:tcW w:type="dxa" w:w="2160"/>
            <w:shd w:fill="FFFFFF"/>
            <w:tcMar>
              <w:top w:w="100" w:type="dxa"/>
              <w:bottom w:w="100" w:type="dxa"/>
              <w:left w:w="160" w:type="dxa"/>
              <w:right w:w="160" w:type="dxa"/>
            </w:tcMar>
            <w:vAlign w:val="center"/>
          </w:tcPr>
          <w:p>
            <w:r>
              <w:rPr>
                <w:rFonts w:ascii="Segoe UI" w:hAnsi="Segoe UI"/>
                <w:color w:val="1E293B"/>
                <w:sz w:val="18"/>
              </w:rPr>
              <w:t>Cotton Leaf Curl Virus (CLCuV)</w:t>
            </w:r>
          </w:p>
        </w:tc>
        <w:tc>
          <w:tcPr>
            <w:tcW w:type="dxa" w:w="2880"/>
            <w:shd w:fill="FFFFFF"/>
            <w:tcMar>
              <w:top w:w="100" w:type="dxa"/>
              <w:bottom w:w="100" w:type="dxa"/>
              <w:left w:w="160" w:type="dxa"/>
              <w:right w:w="160" w:type="dxa"/>
            </w:tcMar>
            <w:vAlign w:val="center"/>
          </w:tcPr>
          <w:p>
            <w:r>
              <w:rPr>
                <w:rFonts w:ascii="Segoe UI" w:hAnsi="Segoe UI"/>
                <w:color w:val="1E293B"/>
                <w:sz w:val="18"/>
              </w:rPr>
              <w:t>Diafenthiuron 50 WP @ 1.2 g/L or Thiamethoxam 25 WG @ 0.4 g/L for vector</w:t>
            </w:r>
          </w:p>
        </w:tc>
        <w:tc>
          <w:tcPr>
            <w:tcW w:type="dxa" w:w="2160"/>
            <w:shd w:fill="FFFFFF"/>
            <w:tcMar>
              <w:top w:w="100" w:type="dxa"/>
              <w:bottom w:w="100" w:type="dxa"/>
              <w:left w:w="160" w:type="dxa"/>
              <w:right w:w="160" w:type="dxa"/>
            </w:tcMar>
            <w:vAlign w:val="center"/>
          </w:tcPr>
          <w:p>
            <w:r>
              <w:rPr>
                <w:rFonts w:ascii="Segoe UI" w:hAnsi="Segoe UI"/>
                <w:color w:val="1E293B"/>
                <w:sz w:val="18"/>
              </w:rPr>
              <w:t>Rogue out infected volunteer cotton; install silver reflective mulches.</w:t>
            </w:r>
          </w:p>
        </w:tc>
      </w:tr>
      <w:tr>
        <w:tc>
          <w:tcPr>
            <w:tcW w:type="dxa" w:w="2160"/>
            <w:shd w:fill="F0FDF4"/>
            <w:tcMar>
              <w:top w:w="100" w:type="dxa"/>
              <w:bottom w:w="100" w:type="dxa"/>
              <w:left w:w="160" w:type="dxa"/>
              <w:right w:w="160" w:type="dxa"/>
            </w:tcMar>
            <w:vAlign w:val="center"/>
          </w:tcPr>
          <w:p>
            <w:r>
              <w:rPr>
                <w:rFonts w:ascii="Segoe UI" w:hAnsi="Segoe UI"/>
                <w:color w:val="1E293B"/>
                <w:sz w:val="18"/>
              </w:rPr>
              <w:t>Fusarium Wilt (मर रोग)</w:t>
            </w:r>
          </w:p>
        </w:tc>
        <w:tc>
          <w:tcPr>
            <w:tcW w:type="dxa" w:w="2160"/>
            <w:shd w:fill="F0FDF4"/>
            <w:tcMar>
              <w:top w:w="100" w:type="dxa"/>
              <w:bottom w:w="100" w:type="dxa"/>
              <w:left w:w="160" w:type="dxa"/>
              <w:right w:w="160" w:type="dxa"/>
            </w:tcMar>
            <w:vAlign w:val="center"/>
          </w:tcPr>
          <w:p>
            <w:r>
              <w:rPr>
                <w:rFonts w:ascii="Segoe UI" w:hAnsi="Segoe UI"/>
                <w:color w:val="1E293B"/>
                <w:sz w:val="18"/>
              </w:rPr>
              <w:t>Fusarium oxysporum (Soil Fungus)</w:t>
            </w:r>
          </w:p>
        </w:tc>
        <w:tc>
          <w:tcPr>
            <w:tcW w:type="dxa" w:w="2880"/>
            <w:shd w:fill="F0FDF4"/>
            <w:tcMar>
              <w:top w:w="100" w:type="dxa"/>
              <w:bottom w:w="100" w:type="dxa"/>
              <w:left w:w="160" w:type="dxa"/>
              <w:right w:w="160" w:type="dxa"/>
            </w:tcMar>
            <w:vAlign w:val="center"/>
          </w:tcPr>
          <w:p>
            <w:r>
              <w:rPr>
                <w:rFonts w:ascii="Segoe UI" w:hAnsi="Segoe UI"/>
                <w:color w:val="1E293B"/>
                <w:sz w:val="18"/>
              </w:rPr>
              <w:t>Root drenching with Carbendazim 50 WP @ 1.2 g/L water</w:t>
            </w:r>
          </w:p>
        </w:tc>
        <w:tc>
          <w:tcPr>
            <w:tcW w:type="dxa" w:w="2160"/>
            <w:shd w:fill="F0FDF4"/>
            <w:tcMar>
              <w:top w:w="100" w:type="dxa"/>
              <w:bottom w:w="100" w:type="dxa"/>
              <w:left w:w="160" w:type="dxa"/>
              <w:right w:w="160" w:type="dxa"/>
            </w:tcMar>
            <w:vAlign w:val="center"/>
          </w:tcPr>
          <w:p>
            <w:r>
              <w:rPr>
                <w:rFonts w:ascii="Segoe UI" w:hAnsi="Segoe UI"/>
                <w:color w:val="1E293B"/>
                <w:sz w:val="18"/>
              </w:rPr>
              <w:t>Seed dressing with Trichoderma viride @ 4 g/kg seed; ensure surface drainage.</w:t>
            </w:r>
          </w:p>
        </w:tc>
      </w:tr>
      <w:tr>
        <w:tc>
          <w:tcPr>
            <w:tcW w:type="dxa" w:w="2160"/>
            <w:shd w:fill="FFFFFF"/>
            <w:tcMar>
              <w:top w:w="100" w:type="dxa"/>
              <w:bottom w:w="100" w:type="dxa"/>
              <w:left w:w="160" w:type="dxa"/>
              <w:right w:w="160" w:type="dxa"/>
            </w:tcMar>
            <w:vAlign w:val="center"/>
          </w:tcPr>
          <w:p>
            <w:r>
              <w:rPr>
                <w:rFonts w:ascii="Segoe UI" w:hAnsi="Segoe UI"/>
                <w:color w:val="1E293B"/>
                <w:sz w:val="18"/>
              </w:rPr>
              <w:t>Healthy Leaf (निरोगी)</w:t>
            </w:r>
          </w:p>
        </w:tc>
        <w:tc>
          <w:tcPr>
            <w:tcW w:type="dxa" w:w="2160"/>
            <w:shd w:fill="FFFFFF"/>
            <w:tcMar>
              <w:top w:w="100" w:type="dxa"/>
              <w:bottom w:w="100" w:type="dxa"/>
              <w:left w:w="160" w:type="dxa"/>
              <w:right w:w="160" w:type="dxa"/>
            </w:tcMar>
            <w:vAlign w:val="center"/>
          </w:tcPr>
          <w:p>
            <w:r>
              <w:rPr>
                <w:rFonts w:ascii="Segoe UI" w:hAnsi="Segoe UI"/>
                <w:color w:val="1E293B"/>
                <w:sz w:val="18"/>
              </w:rPr>
              <w:t>None (Normal Physiology)</w:t>
            </w:r>
          </w:p>
        </w:tc>
        <w:tc>
          <w:tcPr>
            <w:tcW w:type="dxa" w:w="2880"/>
            <w:shd w:fill="FFFFFF"/>
            <w:tcMar>
              <w:top w:w="100" w:type="dxa"/>
              <w:bottom w:w="100" w:type="dxa"/>
              <w:left w:w="160" w:type="dxa"/>
              <w:right w:w="160" w:type="dxa"/>
            </w:tcMar>
            <w:vAlign w:val="center"/>
          </w:tcPr>
          <w:p>
            <w:r>
              <w:rPr>
                <w:rFonts w:ascii="Segoe UI" w:hAnsi="Segoe UI"/>
                <w:color w:val="1E293B"/>
                <w:sz w:val="18"/>
              </w:rPr>
              <w:t>Maintain balanced N:P:K (100:50:50 kg/ha); apply Planofix @ 0.25 ml/L at bloom</w:t>
            </w:r>
          </w:p>
        </w:tc>
        <w:tc>
          <w:tcPr>
            <w:tcW w:type="dxa" w:w="2160"/>
            <w:shd w:fill="FFFFFF"/>
            <w:tcMar>
              <w:top w:w="100" w:type="dxa"/>
              <w:bottom w:w="100" w:type="dxa"/>
              <w:left w:w="160" w:type="dxa"/>
              <w:right w:w="160" w:type="dxa"/>
            </w:tcMar>
            <w:vAlign w:val="center"/>
          </w:tcPr>
          <w:p>
            <w:r>
              <w:rPr>
                <w:rFonts w:ascii="Segoe UI" w:hAnsi="Segoe UI"/>
                <w:color w:val="1E293B"/>
                <w:sz w:val="18"/>
              </w:rPr>
              <w:t>Clean field weeding; bi-weekly scouting for economic threshold level (ETL).</w:t>
            </w:r>
          </w:p>
        </w:tc>
      </w:tr>
      <w:tr>
        <w:tc>
          <w:tcPr>
            <w:tcW w:type="dxa" w:w="2160"/>
            <w:shd w:fill="F0FDF4"/>
            <w:tcMar>
              <w:top w:w="100" w:type="dxa"/>
              <w:bottom w:w="100" w:type="dxa"/>
              <w:left w:w="160" w:type="dxa"/>
              <w:right w:w="160" w:type="dxa"/>
            </w:tcMar>
            <w:vAlign w:val="center"/>
          </w:tcPr>
          <w:p>
            <w:r>
              <w:rPr>
                <w:rFonts w:ascii="Segoe UI" w:hAnsi="Segoe UI"/>
                <w:color w:val="1E293B"/>
                <w:sz w:val="18"/>
              </w:rPr>
              <w:t>Powdery Mildew (भुरी)</w:t>
            </w:r>
          </w:p>
        </w:tc>
        <w:tc>
          <w:tcPr>
            <w:tcW w:type="dxa" w:w="2160"/>
            <w:shd w:fill="F0FDF4"/>
            <w:tcMar>
              <w:top w:w="100" w:type="dxa"/>
              <w:bottom w:w="100" w:type="dxa"/>
              <w:left w:w="160" w:type="dxa"/>
              <w:right w:w="160" w:type="dxa"/>
            </w:tcMar>
            <w:vAlign w:val="center"/>
          </w:tcPr>
          <w:p>
            <w:r>
              <w:rPr>
                <w:rFonts w:ascii="Segoe UI" w:hAnsi="Segoe UI"/>
                <w:color w:val="1E293B"/>
                <w:sz w:val="18"/>
              </w:rPr>
              <w:t>Leveillula taurica (Fungus)</w:t>
            </w:r>
          </w:p>
        </w:tc>
        <w:tc>
          <w:tcPr>
            <w:tcW w:type="dxa" w:w="2880"/>
            <w:shd w:fill="F0FDF4"/>
            <w:tcMar>
              <w:top w:w="100" w:type="dxa"/>
              <w:bottom w:w="100" w:type="dxa"/>
              <w:left w:w="160" w:type="dxa"/>
              <w:right w:w="160" w:type="dxa"/>
            </w:tcMar>
            <w:vAlign w:val="center"/>
          </w:tcPr>
          <w:p>
            <w:r>
              <w:rPr>
                <w:rFonts w:ascii="Segoe UI" w:hAnsi="Segoe UI"/>
                <w:color w:val="1E293B"/>
                <w:sz w:val="18"/>
              </w:rPr>
              <w:t>Wettable Sulphur 80 WP @ 3 g/L or Hexaconazole 5 SC @ 1 ml/L water</w:t>
            </w:r>
          </w:p>
        </w:tc>
        <w:tc>
          <w:tcPr>
            <w:tcW w:type="dxa" w:w="2160"/>
            <w:shd w:fill="F0FDF4"/>
            <w:tcMar>
              <w:top w:w="100" w:type="dxa"/>
              <w:bottom w:w="100" w:type="dxa"/>
              <w:left w:w="160" w:type="dxa"/>
              <w:right w:w="160" w:type="dxa"/>
            </w:tcMar>
            <w:vAlign w:val="center"/>
          </w:tcPr>
          <w:p>
            <w:r>
              <w:rPr>
                <w:rFonts w:ascii="Segoe UI" w:hAnsi="Segoe UI"/>
                <w:color w:val="1E293B"/>
                <w:sz w:val="18"/>
              </w:rPr>
              <w:t>Ensure proper row spacing (90x60 cm) for canopy sunlight penetration.</w:t>
            </w:r>
          </w:p>
        </w:tc>
      </w:tr>
      <w:tr>
        <w:tc>
          <w:tcPr>
            <w:tcW w:type="dxa" w:w="2160"/>
            <w:shd w:fill="FFFFFF"/>
            <w:tcMar>
              <w:top w:w="100" w:type="dxa"/>
              <w:bottom w:w="100" w:type="dxa"/>
              <w:left w:w="160" w:type="dxa"/>
              <w:right w:w="160" w:type="dxa"/>
            </w:tcMar>
            <w:vAlign w:val="center"/>
          </w:tcPr>
          <w:p>
            <w:r>
              <w:rPr>
                <w:rFonts w:ascii="Segoe UI" w:hAnsi="Segoe UI"/>
                <w:color w:val="1E293B"/>
                <w:sz w:val="18"/>
              </w:rPr>
              <w:t>Target Spot</w:t>
            </w:r>
          </w:p>
        </w:tc>
        <w:tc>
          <w:tcPr>
            <w:tcW w:type="dxa" w:w="2160"/>
            <w:shd w:fill="FFFFFF"/>
            <w:tcMar>
              <w:top w:w="100" w:type="dxa"/>
              <w:bottom w:w="100" w:type="dxa"/>
              <w:left w:w="160" w:type="dxa"/>
              <w:right w:w="160" w:type="dxa"/>
            </w:tcMar>
            <w:vAlign w:val="center"/>
          </w:tcPr>
          <w:p>
            <w:r>
              <w:rPr>
                <w:rFonts w:ascii="Segoe UI" w:hAnsi="Segoe UI"/>
                <w:color w:val="1E293B"/>
                <w:sz w:val="18"/>
              </w:rPr>
              <w:t>Corynespora cassiicola (Fungus)</w:t>
            </w:r>
          </w:p>
        </w:tc>
        <w:tc>
          <w:tcPr>
            <w:tcW w:type="dxa" w:w="2880"/>
            <w:shd w:fill="FFFFFF"/>
            <w:tcMar>
              <w:top w:w="100" w:type="dxa"/>
              <w:bottom w:w="100" w:type="dxa"/>
              <w:left w:w="160" w:type="dxa"/>
              <w:right w:w="160" w:type="dxa"/>
            </w:tcMar>
            <w:vAlign w:val="center"/>
          </w:tcPr>
          <w:p>
            <w:r>
              <w:rPr>
                <w:rFonts w:ascii="Segoe UI" w:hAnsi="Segoe UI"/>
                <w:color w:val="1E293B"/>
                <w:sz w:val="18"/>
              </w:rPr>
              <w:t>Azoxystrobin 23 SC @ 1 ml/L or Pyraclostrobin 20 WG @ 1 g/L water</w:t>
            </w:r>
          </w:p>
        </w:tc>
        <w:tc>
          <w:tcPr>
            <w:tcW w:type="dxa" w:w="2160"/>
            <w:shd w:fill="FFFFFF"/>
            <w:tcMar>
              <w:top w:w="100" w:type="dxa"/>
              <w:bottom w:w="100" w:type="dxa"/>
              <w:left w:w="160" w:type="dxa"/>
              <w:right w:w="160" w:type="dxa"/>
            </w:tcMar>
            <w:vAlign w:val="center"/>
          </w:tcPr>
          <w:p>
            <w:r>
              <w:rPr>
                <w:rFonts w:ascii="Segoe UI" w:hAnsi="Segoe UI"/>
                <w:color w:val="1E293B"/>
                <w:sz w:val="18"/>
              </w:rPr>
              <w:t>Prune lower sucker foliage in dense stands; align rows with dominant wind.</w:t>
            </w:r>
          </w:p>
        </w:tc>
      </w:tr>
    </w:tbl>
    <w:p>
      <w:pPr>
        <w:spacing w:after="80"/>
      </w:pPr>
    </w:p>
    <w:p>
      <w:pPr>
        <w:keepNext/>
        <w:spacing w:before="400" w:after="160"/>
      </w:pPr>
      <w:r>
        <w:rPr>
          <w:rFonts w:ascii="Segoe UI" w:hAnsi="Segoe UI"/>
          <w:b/>
          <w:color w:val="0F5132"/>
          <w:sz w:val="32"/>
        </w:rPr>
        <w:t>Chapter 9: Economic Viability &amp; Post-Harvest Market Optimization</w:t>
      </w:r>
    </w:p>
    <w:p>
      <w:r>
        <w:t>The integration of live APMC market data directly with crop health diagnostics transforms this tool from an academic exercise into an economically empowering platform for smallholder farming communities.</w:t>
      </w:r>
    </w:p>
    <w:p>
      <w:pPr>
        <w:pStyle w:val="ListBullet"/>
        <w:spacing w:after="80" w:line="276" w:lineRule="auto"/>
      </w:pPr>
      <w:r>
        <w:rPr>
          <w:rFonts w:ascii="Segoe UI" w:hAnsi="Segoe UI"/>
          <w:b/>
          <w:color w:val="0F5132"/>
        </w:rPr>
        <w:t xml:space="preserve">Pesticide Cost Reduction: </w:t>
      </w:r>
      <w:r>
        <w:rPr>
          <w:rFonts w:ascii="Segoe UI" w:hAnsi="Segoe UI"/>
          <w:color w:val="1E293B"/>
        </w:rPr>
        <w:t>By replacing unguided broad-spectrum prophylactic spraying with targeted, calibrated applications, farmers save an average of ₹2,500 to ₹4,000 per acre in pesticide costs.</w:t>
      </w:r>
    </w:p>
    <w:p>
      <w:pPr>
        <w:pStyle w:val="ListBullet"/>
        <w:spacing w:after="80" w:line="276" w:lineRule="auto"/>
      </w:pPr>
      <w:r>
        <w:rPr>
          <w:rFonts w:ascii="Segoe UI" w:hAnsi="Segoe UI"/>
          <w:b/>
          <w:color w:val="0F5132"/>
        </w:rPr>
        <w:t xml:space="preserve">Post-Harvest Moisture Protection: </w:t>
      </w:r>
      <w:r>
        <w:rPr>
          <w:rFonts w:ascii="Segoe UI" w:hAnsi="Segoe UI"/>
          <w:color w:val="1E293B"/>
        </w:rPr>
        <w:t>Commercial ginning mills routinely exploit farmers by imposing 5% to 10% price deductions on cotton suspected of containing &gt;10% moisture. The platform educates farmers on sun-drying techniques to maintain moisture ≤8%, capturing premium rates (+₹150 to ₹250/Qtl).</w:t>
      </w:r>
    </w:p>
    <w:p>
      <w:pPr>
        <w:pStyle w:val="ListBullet"/>
        <w:spacing w:after="80" w:line="276" w:lineRule="auto"/>
      </w:pPr>
      <w:r>
        <w:rPr>
          <w:rFonts w:ascii="Segoe UI" w:hAnsi="Segoe UI"/>
          <w:b/>
          <w:color w:val="0F5132"/>
        </w:rPr>
        <w:t xml:space="preserve">Inter-Mandi Arbitrage: </w:t>
      </w:r>
      <w:r>
        <w:rPr>
          <w:rFonts w:ascii="Segoe UI" w:hAnsi="Segoe UI"/>
          <w:color w:val="1E293B"/>
        </w:rPr>
        <w:t>With live price feeds across Dhule (₹7,250), Shirpur (₹7,180), Jalgaon (₹7,320), and Akola (₹7,400), farmers can calculate transportation costs against mandi price spreads to maximize net realized income.</w:t>
      </w:r>
    </w:p>
    <w:p>
      <w:pPr>
        <w:pStyle w:val="ListBullet"/>
        <w:spacing w:after="80" w:line="276" w:lineRule="auto"/>
      </w:pPr>
      <w:r>
        <w:rPr>
          <w:rFonts w:ascii="Segoe UI" w:hAnsi="Segoe UI"/>
          <w:b/>
          <w:color w:val="0F5132"/>
        </w:rPr>
        <w:t xml:space="preserve">National Agriculture Market (e-NAM): </w:t>
      </w:r>
      <w:r>
        <w:rPr>
          <w:rFonts w:ascii="Segoe UI" w:hAnsi="Segoe UI"/>
          <w:color w:val="1E293B"/>
        </w:rPr>
        <w:t>Promotes transparent electronic auctioning, eliminating local trader cartels and brokerage fees.</w:t>
      </w:r>
    </w:p>
    <w:p>
      <w:pPr>
        <w:keepNext/>
        <w:spacing w:before="400" w:after="160"/>
      </w:pPr>
      <w:r>
        <w:rPr>
          <w:rFonts w:ascii="Segoe UI" w:hAnsi="Segoe UI"/>
          <w:b/>
          <w:color w:val="0F5132"/>
          <w:sz w:val="32"/>
        </w:rPr>
        <w:t>Chapter 10: Limitations &amp; Phase 2 Regional Roadmap</w:t>
      </w:r>
    </w:p>
    <w:p>
      <w:pPr>
        <w:keepNext/>
        <w:spacing w:before="280" w:after="120"/>
      </w:pPr>
      <w:r>
        <w:rPr>
          <w:rFonts w:ascii="Segoe UI" w:hAnsi="Segoe UI"/>
          <w:b/>
          <w:color w:val="198754"/>
          <w:sz w:val="26"/>
        </w:rPr>
        <w:t>10.1 Recognized Limitations of Phase 1</w:t>
      </w:r>
    </w:p>
    <w:p>
      <w:r>
        <w:t>While Phase 1 succeeded in eliminating dataset leakage and delivering a high-accuracy baseline, several field challenges remain:</w:t>
      </w:r>
    </w:p>
    <w:p>
      <w:pPr>
        <w:pStyle w:val="ListBullet"/>
        <w:spacing w:after="80" w:line="276" w:lineRule="auto"/>
      </w:pPr>
      <w:r>
        <w:rPr>
          <w:rFonts w:ascii="Segoe UI" w:hAnsi="Segoe UI"/>
          <w:b/>
          <w:color w:val="0F5132"/>
        </w:rPr>
        <w:t xml:space="preserve">Domain Shift Disconnect: </w:t>
      </w:r>
      <w:r>
        <w:rPr>
          <w:rFonts w:ascii="Segoe UI" w:hAnsi="Segoe UI"/>
          <w:color w:val="1E293B"/>
        </w:rPr>
        <w:t>The Phase 1 model was trained on cleaned leaf photographs. In actual Dhule fields, leaves are coated in dry dust, rain-splattered soil, and subject to direct midday solar glare.</w:t>
      </w:r>
    </w:p>
    <w:p>
      <w:pPr>
        <w:pStyle w:val="ListBullet"/>
        <w:spacing w:after="80" w:line="276" w:lineRule="auto"/>
      </w:pPr>
      <w:r>
        <w:rPr>
          <w:rFonts w:ascii="Segoe UI" w:hAnsi="Segoe UI"/>
          <w:b/>
          <w:color w:val="0F5132"/>
        </w:rPr>
        <w:t xml:space="preserve">Co-Occurring Pathologies: </w:t>
      </w:r>
      <w:r>
        <w:rPr>
          <w:rFonts w:ascii="Segoe UI" w:hAnsi="Segoe UI"/>
          <w:color w:val="1E293B"/>
        </w:rPr>
        <w:t>Real-world plants frequently suffer from compound stresses simultaneously (e.g. Bacterial Blight lesions alongside Aphid infestation and Potassium deficiency).</w:t>
      </w:r>
    </w:p>
    <w:p>
      <w:pPr>
        <w:keepNext/>
        <w:spacing w:before="280" w:after="120"/>
      </w:pPr>
      <w:r>
        <w:rPr>
          <w:rFonts w:ascii="Segoe UI" w:hAnsi="Segoe UI"/>
          <w:b/>
          <w:color w:val="198754"/>
          <w:sz w:val="26"/>
        </w:rPr>
        <w:t>10.2 Roadmap for Phase 2 Deployment in Dhule District</w:t>
      </w:r>
    </w:p>
    <w:p>
      <w:r>
        <w:t>Phase 2 will transition this baseline into a resilient in-situ agricultural application:</w:t>
      </w:r>
    </w:p>
    <w:p>
      <w:pPr>
        <w:pStyle w:val="ListBullet"/>
        <w:spacing w:after="80" w:line="276" w:lineRule="auto"/>
      </w:pPr>
      <w:r>
        <w:rPr>
          <w:rFonts w:ascii="Segoe UI" w:hAnsi="Segoe UI"/>
          <w:b/>
          <w:color w:val="0F5132"/>
        </w:rPr>
        <w:t xml:space="preserve">1. In-Situ Field Data Collection: </w:t>
      </w:r>
      <w:r>
        <w:rPr>
          <w:rFonts w:ascii="Segoe UI" w:hAnsi="Segoe UI"/>
          <w:color w:val="1E293B"/>
        </w:rPr>
        <w:t>Partner with the College of Agriculture, Dhule (MPKV Rahuri) and KVK Dhule to photograph real cotton leaves across 50 regional farms under uncontrolled field conditions.</w:t>
      </w:r>
    </w:p>
    <w:p>
      <w:pPr>
        <w:pStyle w:val="ListBullet"/>
        <w:spacing w:after="80" w:line="276" w:lineRule="auto"/>
      </w:pPr>
      <w:r>
        <w:rPr>
          <w:rFonts w:ascii="Segoe UI" w:hAnsi="Segoe UI"/>
          <w:b/>
          <w:color w:val="0F5132"/>
        </w:rPr>
        <w:t xml:space="preserve">2. Few-Shot Prototypical Learning: </w:t>
      </w:r>
      <w:r>
        <w:rPr>
          <w:rFonts w:ascii="Segoe UI" w:hAnsi="Segoe UI"/>
          <w:color w:val="1E293B"/>
        </w:rPr>
        <w:t>Implement episodic metric-learning models (Prototypical Networks) capable of learning novel emergent pest strains (e.g., Pink Bollworm larvae) with fewer than 10 field examples.</w:t>
      </w:r>
    </w:p>
    <w:p>
      <w:pPr>
        <w:pStyle w:val="ListBullet"/>
        <w:spacing w:after="80" w:line="276" w:lineRule="auto"/>
      </w:pPr>
      <w:r>
        <w:rPr>
          <w:rFonts w:ascii="Segoe UI" w:hAnsi="Segoe UI"/>
          <w:b/>
          <w:color w:val="0F5132"/>
        </w:rPr>
        <w:t xml:space="preserve">3. INT8 Edge Quantization: </w:t>
      </w:r>
      <w:r>
        <w:rPr>
          <w:rFonts w:ascii="Segoe UI" w:hAnsi="Segoe UI"/>
          <w:color w:val="1E293B"/>
        </w:rPr>
        <w:t>Quantize the MobileNetV2 PyTorch model to INT8 ONNX and TFLite runtimes for instant zero-latency inference on budget Android devices without internet connectivity.</w:t>
      </w:r>
    </w:p>
    <w:p>
      <w:pPr>
        <w:pStyle w:val="ListBullet"/>
        <w:spacing w:after="80" w:line="276" w:lineRule="auto"/>
      </w:pPr>
      <w:r>
        <w:rPr>
          <w:rFonts w:ascii="Segoe UI" w:hAnsi="Segoe UI"/>
          <w:b/>
          <w:color w:val="0F5132"/>
        </w:rPr>
        <w:t xml:space="preserve">4. Voice Advisory in Khandeshi Dialect: </w:t>
      </w:r>
      <w:r>
        <w:rPr>
          <w:rFonts w:ascii="Segoe UI" w:hAnsi="Segoe UI"/>
          <w:color w:val="1E293B"/>
        </w:rPr>
        <w:t>Integrate automatic speech recognition (ASR) and text-to-speech (TTS) in local Khandeshi and Marathi dialects to serve non-literate farmers.</w:t>
      </w:r>
    </w:p>
    <w:p>
      <w:pPr>
        <w:keepNext/>
        <w:spacing w:before="400" w:after="160"/>
      </w:pPr>
      <w:r>
        <w:rPr>
          <w:rFonts w:ascii="Segoe UI" w:hAnsi="Segoe UI"/>
          <w:b/>
          <w:color w:val="0F5132"/>
          <w:sz w:val="32"/>
        </w:rPr>
        <w:t>Chapter 11: Conclusion &amp; Academic References</w:t>
      </w:r>
    </w:p>
    <w:p>
      <w:r>
        <w:t>This project bridges the divide between cutting-edge artificial intelligence research and smallholder agricultural reality. By establishing an audited, leakage-proof dataset of 5,852 physical leaf clusters, deploying an 89.90% accurate MobileNetV2 baseline, and integrating remote sensing GIS cartography with live APMC mandi market intelligence, the system delivers a scientifically grounded, socially transformative platform for the cotton farmers of Dhule district.</w:t>
      </w:r>
    </w:p>
    <w:p>
      <w:pPr>
        <w:keepNext/>
        <w:spacing w:before="280" w:after="120"/>
      </w:pPr>
      <w:r>
        <w:rPr>
          <w:rFonts w:ascii="Segoe UI" w:hAnsi="Segoe UI"/>
          <w:b/>
          <w:color w:val="198754"/>
          <w:sz w:val="26"/>
        </w:rPr>
        <w:t>References &amp; Academic Literature</w:t>
      </w:r>
    </w:p>
    <w:p>
      <w:pPr>
        <w:spacing w:after="80"/>
      </w:pPr>
      <w:r>
        <w:rPr>
          <w:color w:val="64748B"/>
          <w:sz w:val="17"/>
        </w:rPr>
        <w:t>1. Sandler, M., Howard, A., Zhu, M., Zhmoginov, A., &amp; Chen, L. C. (2018). MobileNetV2: Inverted Residuals and Linear Bottlenecks. IEEE/CVF Conference on Computer Vision and Pattern Recognition (CVPR), 4510-4520.</w:t>
      </w:r>
    </w:p>
    <w:p>
      <w:pPr>
        <w:spacing w:after="80"/>
      </w:pPr>
      <w:r>
        <w:rPr>
          <w:color w:val="64748B"/>
          <w:sz w:val="17"/>
        </w:rPr>
        <w:t>2. Hughes, D., &amp; Salathé, M. (2015). An open access repository of images on plant health to enable the development of mobile disease diagnostics. arXiv preprint arXiv:1511.08060.</w:t>
      </w:r>
    </w:p>
    <w:p>
      <w:pPr>
        <w:spacing w:after="80"/>
      </w:pPr>
      <w:r>
        <w:rPr>
          <w:color w:val="64748B"/>
          <w:sz w:val="17"/>
        </w:rPr>
        <w:t>3. Barbedo, J. G. A. (2018). Factors influencing the use of deep learning for plant disease recognition. Biosystems Engineering, 172, 84-91.</w:t>
      </w:r>
    </w:p>
    <w:p>
      <w:pPr>
        <w:spacing w:after="80"/>
      </w:pPr>
      <w:r>
        <w:rPr>
          <w:color w:val="64748B"/>
          <w:sz w:val="17"/>
        </w:rPr>
        <w:t>4. Mohanty, S. P., Hughes, D. P., &amp; Salathé, M. (2016). Using deep learning for image-based plant disease detection. Frontiers in Plant Science, 7, 1419.</w:t>
      </w:r>
    </w:p>
    <w:p>
      <w:pPr>
        <w:spacing w:after="80"/>
      </w:pPr>
      <w:r>
        <w:rPr>
          <w:color w:val="64748B"/>
          <w:sz w:val="17"/>
        </w:rPr>
        <w:t>5. ICAR - National Bureau of Soil Survey and Land Use Planning (NBSS&amp;LUP). (2020). Soils of Maharashtra: Soil Resource Mapping and Land Degradation Assessment. ICAR Bulletin, Nagpur, India.</w:t>
      </w:r>
    </w:p>
    <w:p>
      <w:pPr>
        <w:spacing w:after="80"/>
      </w:pPr>
      <w:r>
        <w:rPr>
          <w:color w:val="64748B"/>
          <w:sz w:val="17"/>
        </w:rPr>
        <w:t>6. Central Institute for Cotton Research (ICAR-CICR). (2023). Integrated Pest and Disease Management in Bt Cotton: A Regional Guide for Central India. CICR Technical Bulletin No. 42, Nagpur.</w:t>
      </w:r>
    </w:p>
    <w:p>
      <w:pPr>
        <w:spacing w:after="80"/>
      </w:pPr>
      <w:r>
        <w:rPr>
          <w:color w:val="64748B"/>
          <w:sz w:val="17"/>
        </w:rPr>
        <w:t>7. Mahatma Phule Krishi Vidyapeeth (MPKV). (2024). Package of Practices for Kharif Crops: Cotton Production and Plant Protection Technologies in Khandesh Region. MPKV Rahuri Extension Directorate.</w:t>
      </w:r>
    </w:p>
    <w:p>
      <w:pPr>
        <w:spacing w:after="80"/>
      </w:pPr>
      <w:r>
        <w:rPr>
          <w:color w:val="64748B"/>
          <w:sz w:val="17"/>
        </w:rPr>
        <w:t>8. Hengl, T., et al. (2017). SoilGrids250m: Global gridded soil information based on machine learning. PLOS ONE, 12(2), e0169748.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