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BE4D5" w:themeColor="accent2" w:themeTint="33"/>
  <w:body>
    <w:p w:rsidR="000800A8" w:rsidRPr="000800A8" w:rsidRDefault="000800A8" w:rsidP="000800A8">
      <w:pPr>
        <w:jc w:val="center"/>
        <w:rPr>
          <w:b/>
          <w:bCs/>
        </w:rPr>
      </w:pPr>
      <w:r w:rsidRPr="000800A8">
        <w:rPr>
          <w:b/>
          <w:bCs/>
        </w:rPr>
        <w:t xml:space="preserve"> Project Title:</w:t>
      </w:r>
    </w:p>
    <w:p w:rsidR="000800A8" w:rsidRPr="000800A8" w:rsidRDefault="000800A8" w:rsidP="000800A8">
      <w:pPr>
        <w:jc w:val="center"/>
      </w:pPr>
      <w:r w:rsidRPr="000800A8">
        <w:t>Decoding the Buy Box: A Visual Deep Dive into Amazon’s Sales Dynamics</w:t>
      </w:r>
    </w:p>
    <w:p w:rsidR="000800A8" w:rsidRPr="000800A8" w:rsidRDefault="000800A8" w:rsidP="000800A8">
      <w:pPr>
        <w:jc w:val="center"/>
        <w:rPr>
          <w:b/>
          <w:bCs/>
        </w:rPr>
      </w:pPr>
      <w:r w:rsidRPr="000800A8">
        <w:rPr>
          <w:b/>
          <w:bCs/>
        </w:rPr>
        <w:t xml:space="preserve"> Prepared By:</w:t>
      </w:r>
    </w:p>
    <w:p w:rsidR="000800A8" w:rsidRPr="000800A8" w:rsidRDefault="000800A8" w:rsidP="000800A8">
      <w:pPr>
        <w:jc w:val="center"/>
      </w:pPr>
      <w:r w:rsidRPr="000800A8">
        <w:t>Rishita Singh</w:t>
      </w:r>
      <w:r w:rsidRPr="000800A8">
        <w:br/>
        <w:t xml:space="preserve">Data Research Intern | </w:t>
      </w:r>
      <w:r>
        <w:t xml:space="preserve">Data and Product </w:t>
      </w:r>
      <w:r w:rsidRPr="000800A8">
        <w:t>Analytics Enthusiast</w:t>
      </w:r>
    </w:p>
    <w:p w:rsidR="000800A8" w:rsidRPr="000800A8" w:rsidRDefault="000800A8" w:rsidP="000800A8">
      <w:pPr>
        <w:jc w:val="center"/>
      </w:pPr>
      <w:r w:rsidRPr="000800A8">
        <w:t>June 2025</w:t>
      </w:r>
    </w:p>
    <w:p w:rsidR="000800A8" w:rsidRDefault="000800A8" w:rsidP="000800A8">
      <w:pPr>
        <w:jc w:val="center"/>
      </w:pPr>
    </w:p>
    <w:p w:rsidR="000800A8" w:rsidRPr="000800A8" w:rsidRDefault="000800A8" w:rsidP="000800A8">
      <w:pPr>
        <w:rPr>
          <w:b/>
          <w:bCs/>
        </w:rPr>
      </w:pPr>
      <w:r w:rsidRPr="000800A8">
        <w:rPr>
          <w:b/>
          <w:bCs/>
        </w:rPr>
        <w:t xml:space="preserve"> Executive Summary</w:t>
      </w:r>
    </w:p>
    <w:p w:rsidR="000800A8" w:rsidRPr="000800A8" w:rsidRDefault="000800A8" w:rsidP="000800A8">
      <w:r w:rsidRPr="000800A8">
        <w:t>This report presents a sales performance analysis of Amazon's global retail data using Power BI. The objective is to identify revenue patterns, category profitability, and region-wise contributions to support strategic business decisions. The dashboard highlights key performance indicators (KPIs) and enables slicing of the data by region, category, and sales channel. Insights from this report can assist category managers, regional heads, and pricing teams in optimizing performance and profitability.</w:t>
      </w:r>
    </w:p>
    <w:p w:rsidR="000800A8" w:rsidRPr="000800A8" w:rsidRDefault="000800A8" w:rsidP="000800A8"/>
    <w:p w:rsidR="000800A8" w:rsidRPr="000800A8" w:rsidRDefault="000800A8" w:rsidP="000800A8">
      <w:pPr>
        <w:rPr>
          <w:b/>
          <w:bCs/>
        </w:rPr>
      </w:pPr>
      <w:r w:rsidRPr="000800A8">
        <w:rPr>
          <w:b/>
          <w:bCs/>
        </w:rPr>
        <w:t xml:space="preserve"> Project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7738"/>
      </w:tblGrid>
      <w:tr w:rsidR="000800A8" w:rsidRPr="000800A8" w:rsidTr="000800A8">
        <w:trPr>
          <w:tblHeader/>
          <w:tblCellSpacing w:w="15" w:type="dxa"/>
        </w:trPr>
        <w:tc>
          <w:tcPr>
            <w:tcW w:w="0" w:type="auto"/>
            <w:vAlign w:val="center"/>
            <w:hideMark/>
          </w:tcPr>
          <w:p w:rsidR="000800A8" w:rsidRPr="000800A8" w:rsidRDefault="000800A8" w:rsidP="000800A8">
            <w:pPr>
              <w:rPr>
                <w:b/>
                <w:bCs/>
              </w:rPr>
            </w:pPr>
            <w:r w:rsidRPr="000800A8">
              <w:rPr>
                <w:b/>
                <w:bCs/>
              </w:rPr>
              <w:t>Component</w:t>
            </w:r>
          </w:p>
        </w:tc>
        <w:tc>
          <w:tcPr>
            <w:tcW w:w="0" w:type="auto"/>
            <w:vAlign w:val="center"/>
            <w:hideMark/>
          </w:tcPr>
          <w:p w:rsidR="000800A8" w:rsidRPr="000800A8" w:rsidRDefault="000800A8" w:rsidP="000800A8">
            <w:pPr>
              <w:rPr>
                <w:b/>
                <w:bCs/>
              </w:rPr>
            </w:pPr>
            <w:r w:rsidRPr="000800A8">
              <w:rPr>
                <w:b/>
                <w:bCs/>
              </w:rPr>
              <w:t>Details</w:t>
            </w:r>
          </w:p>
        </w:tc>
      </w:tr>
      <w:tr w:rsidR="000800A8" w:rsidRPr="000800A8" w:rsidTr="000800A8">
        <w:trPr>
          <w:tblCellSpacing w:w="15" w:type="dxa"/>
        </w:trPr>
        <w:tc>
          <w:tcPr>
            <w:tcW w:w="0" w:type="auto"/>
            <w:vAlign w:val="center"/>
            <w:hideMark/>
          </w:tcPr>
          <w:p w:rsidR="000800A8" w:rsidRPr="000800A8" w:rsidRDefault="000800A8" w:rsidP="000800A8">
            <w:r w:rsidRPr="000800A8">
              <w:rPr>
                <w:b/>
                <w:bCs/>
              </w:rPr>
              <w:t>Data Source</w:t>
            </w:r>
          </w:p>
        </w:tc>
        <w:tc>
          <w:tcPr>
            <w:tcW w:w="0" w:type="auto"/>
            <w:vAlign w:val="center"/>
            <w:hideMark/>
          </w:tcPr>
          <w:p w:rsidR="000800A8" w:rsidRPr="000800A8" w:rsidRDefault="000800A8" w:rsidP="000800A8">
            <w:r w:rsidRPr="000800A8">
              <w:t>Simulated Amazon sales dataset</w:t>
            </w:r>
          </w:p>
        </w:tc>
      </w:tr>
      <w:tr w:rsidR="000800A8" w:rsidRPr="000800A8" w:rsidTr="000800A8">
        <w:trPr>
          <w:tblCellSpacing w:w="15" w:type="dxa"/>
        </w:trPr>
        <w:tc>
          <w:tcPr>
            <w:tcW w:w="0" w:type="auto"/>
            <w:vAlign w:val="center"/>
            <w:hideMark/>
          </w:tcPr>
          <w:p w:rsidR="000800A8" w:rsidRPr="000800A8" w:rsidRDefault="000800A8" w:rsidP="000800A8">
            <w:r w:rsidRPr="000800A8">
              <w:rPr>
                <w:b/>
                <w:bCs/>
              </w:rPr>
              <w:t>Reporting Tool</w:t>
            </w:r>
          </w:p>
        </w:tc>
        <w:tc>
          <w:tcPr>
            <w:tcW w:w="0" w:type="auto"/>
            <w:vAlign w:val="center"/>
            <w:hideMark/>
          </w:tcPr>
          <w:p w:rsidR="000800A8" w:rsidRPr="000800A8" w:rsidRDefault="000800A8" w:rsidP="000800A8">
            <w:r w:rsidRPr="000800A8">
              <w:t>Microsoft Power BI</w:t>
            </w:r>
          </w:p>
        </w:tc>
      </w:tr>
      <w:tr w:rsidR="000800A8" w:rsidRPr="000800A8" w:rsidTr="000800A8">
        <w:trPr>
          <w:tblCellSpacing w:w="15" w:type="dxa"/>
        </w:trPr>
        <w:tc>
          <w:tcPr>
            <w:tcW w:w="0" w:type="auto"/>
            <w:vAlign w:val="center"/>
            <w:hideMark/>
          </w:tcPr>
          <w:p w:rsidR="000800A8" w:rsidRPr="000800A8" w:rsidRDefault="000800A8" w:rsidP="000800A8">
            <w:r w:rsidRPr="000800A8">
              <w:rPr>
                <w:b/>
                <w:bCs/>
              </w:rPr>
              <w:t>Data Fields</w:t>
            </w:r>
          </w:p>
        </w:tc>
        <w:tc>
          <w:tcPr>
            <w:tcW w:w="0" w:type="auto"/>
            <w:vAlign w:val="center"/>
            <w:hideMark/>
          </w:tcPr>
          <w:p w:rsidR="000800A8" w:rsidRPr="000800A8" w:rsidRDefault="000800A8" w:rsidP="000800A8">
            <w:r w:rsidRPr="000800A8">
              <w:t>Order Date, Region, Category, Sales Channel, Profit, Revenue, Cost, Units Sold, Priority</w:t>
            </w:r>
          </w:p>
        </w:tc>
      </w:tr>
      <w:tr w:rsidR="000800A8" w:rsidRPr="000800A8" w:rsidTr="000800A8">
        <w:trPr>
          <w:tblCellSpacing w:w="15" w:type="dxa"/>
        </w:trPr>
        <w:tc>
          <w:tcPr>
            <w:tcW w:w="0" w:type="auto"/>
            <w:vAlign w:val="center"/>
            <w:hideMark/>
          </w:tcPr>
          <w:p w:rsidR="000800A8" w:rsidRPr="000800A8" w:rsidRDefault="000800A8" w:rsidP="000800A8">
            <w:r w:rsidRPr="000800A8">
              <w:rPr>
                <w:b/>
                <w:bCs/>
              </w:rPr>
              <w:t>Time Frame</w:t>
            </w:r>
          </w:p>
        </w:tc>
        <w:tc>
          <w:tcPr>
            <w:tcW w:w="0" w:type="auto"/>
            <w:vAlign w:val="center"/>
            <w:hideMark/>
          </w:tcPr>
          <w:p w:rsidR="000800A8" w:rsidRPr="000800A8" w:rsidRDefault="000800A8" w:rsidP="000800A8">
            <w:r w:rsidRPr="000800A8">
              <w:t>2010–2017</w:t>
            </w:r>
          </w:p>
        </w:tc>
      </w:tr>
      <w:tr w:rsidR="000800A8" w:rsidRPr="000800A8" w:rsidTr="000800A8">
        <w:trPr>
          <w:tblCellSpacing w:w="15" w:type="dxa"/>
        </w:trPr>
        <w:tc>
          <w:tcPr>
            <w:tcW w:w="0" w:type="auto"/>
            <w:vAlign w:val="center"/>
            <w:hideMark/>
          </w:tcPr>
          <w:p w:rsidR="000800A8" w:rsidRPr="000800A8" w:rsidRDefault="000800A8" w:rsidP="000800A8">
            <w:r w:rsidRPr="000800A8">
              <w:rPr>
                <w:b/>
                <w:bCs/>
              </w:rPr>
              <w:t>Supporting Tools</w:t>
            </w:r>
          </w:p>
        </w:tc>
        <w:tc>
          <w:tcPr>
            <w:tcW w:w="0" w:type="auto"/>
            <w:vAlign w:val="center"/>
            <w:hideMark/>
          </w:tcPr>
          <w:p w:rsidR="000800A8" w:rsidRPr="000800A8" w:rsidRDefault="000800A8" w:rsidP="000800A8">
            <w:r w:rsidRPr="000800A8">
              <w:t>Excel (data prep), Python (exploration), DAX (metrics)</w:t>
            </w:r>
          </w:p>
        </w:tc>
      </w:tr>
    </w:tbl>
    <w:p w:rsidR="000800A8" w:rsidRPr="000800A8" w:rsidRDefault="000800A8" w:rsidP="000800A8"/>
    <w:p w:rsidR="000800A8" w:rsidRPr="000800A8" w:rsidRDefault="000800A8" w:rsidP="000800A8">
      <w:pPr>
        <w:rPr>
          <w:b/>
          <w:bCs/>
        </w:rPr>
      </w:pPr>
      <w:r w:rsidRPr="000800A8">
        <w:rPr>
          <w:b/>
          <w:bCs/>
        </w:rPr>
        <w:t xml:space="preserve"> Dashboard Features</w:t>
      </w:r>
    </w:p>
    <w:p w:rsidR="000800A8" w:rsidRPr="000800A8" w:rsidRDefault="000800A8" w:rsidP="000800A8">
      <w:pPr>
        <w:numPr>
          <w:ilvl w:val="0"/>
          <w:numId w:val="1"/>
        </w:numPr>
      </w:pPr>
      <w:r w:rsidRPr="000800A8">
        <w:rPr>
          <w:b/>
          <w:bCs/>
        </w:rPr>
        <w:t>KPI Indicators:</w:t>
      </w:r>
      <w:r w:rsidRPr="000800A8">
        <w:t xml:space="preserve"> Total Profit, Revenue, Units Sold, Average Order Value</w:t>
      </w:r>
    </w:p>
    <w:p w:rsidR="000800A8" w:rsidRPr="000800A8" w:rsidRDefault="000800A8" w:rsidP="000800A8">
      <w:pPr>
        <w:numPr>
          <w:ilvl w:val="0"/>
          <w:numId w:val="1"/>
        </w:numPr>
      </w:pPr>
      <w:r w:rsidRPr="000800A8">
        <w:rPr>
          <w:b/>
          <w:bCs/>
        </w:rPr>
        <w:t>Region-wise Sales Visualization</w:t>
      </w:r>
      <w:r w:rsidRPr="000800A8">
        <w:t xml:space="preserve"> (using map and bar chart)</w:t>
      </w:r>
    </w:p>
    <w:p w:rsidR="000800A8" w:rsidRPr="000800A8" w:rsidRDefault="000800A8" w:rsidP="000800A8">
      <w:pPr>
        <w:numPr>
          <w:ilvl w:val="0"/>
          <w:numId w:val="1"/>
        </w:numPr>
      </w:pPr>
      <w:r w:rsidRPr="000800A8">
        <w:rPr>
          <w:b/>
          <w:bCs/>
        </w:rPr>
        <w:t>Category &amp; Channel Contribution Charts</w:t>
      </w:r>
    </w:p>
    <w:p w:rsidR="000800A8" w:rsidRPr="000800A8" w:rsidRDefault="000800A8" w:rsidP="000800A8">
      <w:pPr>
        <w:numPr>
          <w:ilvl w:val="0"/>
          <w:numId w:val="1"/>
        </w:numPr>
      </w:pPr>
      <w:r w:rsidRPr="000800A8">
        <w:rPr>
          <w:b/>
          <w:bCs/>
        </w:rPr>
        <w:t>Profit Margin &amp; Discount Impact Analysis</w:t>
      </w:r>
    </w:p>
    <w:p w:rsidR="000800A8" w:rsidRPr="000800A8" w:rsidRDefault="000800A8" w:rsidP="000800A8">
      <w:pPr>
        <w:numPr>
          <w:ilvl w:val="0"/>
          <w:numId w:val="1"/>
        </w:numPr>
      </w:pPr>
      <w:r w:rsidRPr="000800A8">
        <w:rPr>
          <w:b/>
          <w:bCs/>
        </w:rPr>
        <w:t>Order Priority vs. Profit Breakdown</w:t>
      </w:r>
    </w:p>
    <w:p w:rsidR="000800A8" w:rsidRPr="000800A8" w:rsidRDefault="000800A8" w:rsidP="000800A8">
      <w:pPr>
        <w:numPr>
          <w:ilvl w:val="0"/>
          <w:numId w:val="1"/>
        </w:numPr>
      </w:pPr>
      <w:r w:rsidRPr="000800A8">
        <w:rPr>
          <w:b/>
          <w:bCs/>
        </w:rPr>
        <w:t>Interactive Filters:</w:t>
      </w:r>
      <w:r w:rsidRPr="000800A8">
        <w:t xml:space="preserve"> Region, Category, Month, Channel</w:t>
      </w:r>
    </w:p>
    <w:p w:rsidR="000800A8" w:rsidRPr="000800A8" w:rsidRDefault="000800A8" w:rsidP="000800A8"/>
    <w:p w:rsidR="000800A8" w:rsidRPr="000800A8" w:rsidRDefault="000800A8" w:rsidP="000800A8">
      <w:pPr>
        <w:rPr>
          <w:b/>
          <w:bCs/>
        </w:rPr>
      </w:pPr>
      <w:r w:rsidRPr="000800A8">
        <w:rPr>
          <w:b/>
          <w:bCs/>
        </w:rPr>
        <w:t xml:space="preserve"> Key Findings</w:t>
      </w:r>
    </w:p>
    <w:p w:rsidR="000800A8" w:rsidRPr="000800A8" w:rsidRDefault="000800A8" w:rsidP="000800A8">
      <w:pPr>
        <w:numPr>
          <w:ilvl w:val="0"/>
          <w:numId w:val="2"/>
        </w:numPr>
      </w:pPr>
      <w:r w:rsidRPr="000800A8">
        <w:rPr>
          <w:b/>
          <w:bCs/>
        </w:rPr>
        <w:t>Sub-Saharan Africa</w:t>
      </w:r>
      <w:r w:rsidRPr="000800A8">
        <w:t xml:space="preserve"> accounts for the </w:t>
      </w:r>
      <w:r w:rsidRPr="000800A8">
        <w:rPr>
          <w:b/>
          <w:bCs/>
        </w:rPr>
        <w:t>highest revenue</w:t>
      </w:r>
      <w:r w:rsidRPr="000800A8">
        <w:t xml:space="preserve"> (~$40M), indicating high-volume market penetration.</w:t>
      </w:r>
    </w:p>
    <w:p w:rsidR="000800A8" w:rsidRPr="000800A8" w:rsidRDefault="000800A8" w:rsidP="000800A8">
      <w:pPr>
        <w:numPr>
          <w:ilvl w:val="0"/>
          <w:numId w:val="2"/>
        </w:numPr>
      </w:pPr>
      <w:r w:rsidRPr="000800A8">
        <w:rPr>
          <w:b/>
          <w:bCs/>
        </w:rPr>
        <w:t>Cosmetics</w:t>
      </w:r>
      <w:r w:rsidRPr="000800A8">
        <w:t xml:space="preserve"> is the most </w:t>
      </w:r>
      <w:r w:rsidRPr="000800A8">
        <w:rPr>
          <w:b/>
          <w:bCs/>
        </w:rPr>
        <w:t>profitable product category</w:t>
      </w:r>
      <w:r w:rsidRPr="000800A8">
        <w:t>, contributing over $14.5M in profits globally.</w:t>
      </w:r>
    </w:p>
    <w:p w:rsidR="000800A8" w:rsidRPr="000800A8" w:rsidRDefault="000800A8" w:rsidP="000800A8">
      <w:pPr>
        <w:numPr>
          <w:ilvl w:val="0"/>
          <w:numId w:val="2"/>
        </w:numPr>
      </w:pPr>
      <w:r w:rsidRPr="000800A8">
        <w:rPr>
          <w:b/>
          <w:bCs/>
        </w:rPr>
        <w:t>Online sales</w:t>
      </w:r>
      <w:r w:rsidRPr="000800A8">
        <w:t xml:space="preserve"> contribute </w:t>
      </w:r>
      <w:r w:rsidRPr="000800A8">
        <w:rPr>
          <w:b/>
          <w:bCs/>
        </w:rPr>
        <w:t>58.14% of overall revenue</w:t>
      </w:r>
      <w:r w:rsidRPr="000800A8">
        <w:t xml:space="preserve">, but </w:t>
      </w:r>
      <w:r w:rsidRPr="000800A8">
        <w:rPr>
          <w:b/>
          <w:bCs/>
        </w:rPr>
        <w:t>offline sales</w:t>
      </w:r>
      <w:r w:rsidRPr="000800A8">
        <w:t xml:space="preserve"> outperform in Office Supplies and high-cost items.</w:t>
      </w:r>
    </w:p>
    <w:p w:rsidR="000800A8" w:rsidRPr="000800A8" w:rsidRDefault="000800A8" w:rsidP="000800A8">
      <w:pPr>
        <w:numPr>
          <w:ilvl w:val="0"/>
          <w:numId w:val="2"/>
        </w:numPr>
      </w:pPr>
      <w:r w:rsidRPr="000800A8">
        <w:rPr>
          <w:b/>
          <w:bCs/>
        </w:rPr>
        <w:lastRenderedPageBreak/>
        <w:t>Fruits, Beverages, and Snacks</w:t>
      </w:r>
      <w:r w:rsidRPr="000800A8">
        <w:t xml:space="preserve"> show </w:t>
      </w:r>
      <w:r w:rsidRPr="000800A8">
        <w:rPr>
          <w:b/>
          <w:bCs/>
        </w:rPr>
        <w:t>consistently poor performance</w:t>
      </w:r>
      <w:r w:rsidRPr="000800A8">
        <w:t xml:space="preserve"> across regions — both in sales and margins.</w:t>
      </w:r>
    </w:p>
    <w:p w:rsidR="000800A8" w:rsidRPr="000800A8" w:rsidRDefault="000800A8" w:rsidP="000800A8">
      <w:pPr>
        <w:numPr>
          <w:ilvl w:val="0"/>
          <w:numId w:val="2"/>
        </w:numPr>
      </w:pPr>
      <w:r w:rsidRPr="000800A8">
        <w:t xml:space="preserve">No consistent correlation was observed between </w:t>
      </w:r>
      <w:r w:rsidRPr="000800A8">
        <w:rPr>
          <w:b/>
          <w:bCs/>
        </w:rPr>
        <w:t>discounting and higher sales</w:t>
      </w:r>
      <w:r w:rsidRPr="000800A8">
        <w:t>, especially in the Asia and MENA regions.</w:t>
      </w:r>
    </w:p>
    <w:p w:rsidR="000800A8" w:rsidRPr="000800A8" w:rsidRDefault="000800A8" w:rsidP="000800A8"/>
    <w:p w:rsidR="000800A8" w:rsidRPr="000800A8" w:rsidRDefault="000800A8" w:rsidP="000800A8">
      <w:pPr>
        <w:rPr>
          <w:b/>
          <w:bCs/>
        </w:rPr>
      </w:pPr>
      <w:r w:rsidRPr="000800A8">
        <w:rPr>
          <w:b/>
          <w:bCs/>
        </w:rPr>
        <w:t xml:space="preserve"> Visual Overview</w:t>
      </w:r>
    </w:p>
    <w:p w:rsidR="000800A8" w:rsidRPr="000800A8" w:rsidRDefault="000800A8" w:rsidP="000800A8">
      <w:pPr>
        <w:numPr>
          <w:ilvl w:val="0"/>
          <w:numId w:val="3"/>
        </w:numPr>
      </w:pPr>
      <w:r w:rsidRPr="000800A8">
        <w:t>Map: Revenue by Region</w:t>
      </w:r>
    </w:p>
    <w:p w:rsidR="000800A8" w:rsidRPr="000800A8" w:rsidRDefault="000800A8" w:rsidP="000800A8">
      <w:pPr>
        <w:numPr>
          <w:ilvl w:val="0"/>
          <w:numId w:val="3"/>
        </w:numPr>
      </w:pPr>
      <w:r w:rsidRPr="000800A8">
        <w:t>Bar Chart: Profit by Category</w:t>
      </w:r>
    </w:p>
    <w:p w:rsidR="000800A8" w:rsidRDefault="000800A8" w:rsidP="000800A8">
      <w:pPr>
        <w:numPr>
          <w:ilvl w:val="0"/>
          <w:numId w:val="3"/>
        </w:numPr>
      </w:pPr>
      <w:r w:rsidRPr="000800A8">
        <w:t>Pie Chart: Channel-wise Revenue Split</w:t>
      </w:r>
    </w:p>
    <w:p w:rsidR="000800A8" w:rsidRDefault="000800A8" w:rsidP="000800A8">
      <w:pPr>
        <w:ind w:left="720"/>
      </w:pPr>
      <w:r w:rsidRPr="000800A8">
        <w:drawing>
          <wp:inline distT="0" distB="0" distL="0" distR="0" wp14:anchorId="36EF2FD3" wp14:editId="2CF33BB7">
            <wp:extent cx="3657600" cy="2044382"/>
            <wp:effectExtent l="0" t="0" r="0" b="0"/>
            <wp:docPr id="17626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361" name=""/>
                    <pic:cNvPicPr/>
                  </pic:nvPicPr>
                  <pic:blipFill>
                    <a:blip r:embed="rId6"/>
                    <a:stretch>
                      <a:fillRect/>
                    </a:stretch>
                  </pic:blipFill>
                  <pic:spPr>
                    <a:xfrm>
                      <a:off x="0" y="0"/>
                      <a:ext cx="3671487" cy="2052144"/>
                    </a:xfrm>
                    <a:prstGeom prst="rect">
                      <a:avLst/>
                    </a:prstGeom>
                  </pic:spPr>
                </pic:pic>
              </a:graphicData>
            </a:graphic>
          </wp:inline>
        </w:drawing>
      </w:r>
      <w:r>
        <w:t xml:space="preserve">  </w:t>
      </w:r>
      <w:r w:rsidRPr="000800A8">
        <w:drawing>
          <wp:inline distT="0" distB="0" distL="0" distR="0" wp14:anchorId="4732115B" wp14:editId="6F0F81E7">
            <wp:extent cx="5187575" cy="2934031"/>
            <wp:effectExtent l="0" t="0" r="0" b="0"/>
            <wp:docPr id="212385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52330" name=""/>
                    <pic:cNvPicPr/>
                  </pic:nvPicPr>
                  <pic:blipFill>
                    <a:blip r:embed="rId7"/>
                    <a:stretch>
                      <a:fillRect/>
                    </a:stretch>
                  </pic:blipFill>
                  <pic:spPr>
                    <a:xfrm>
                      <a:off x="0" y="0"/>
                      <a:ext cx="5198361" cy="2940132"/>
                    </a:xfrm>
                    <a:prstGeom prst="rect">
                      <a:avLst/>
                    </a:prstGeom>
                  </pic:spPr>
                </pic:pic>
              </a:graphicData>
            </a:graphic>
          </wp:inline>
        </w:drawing>
      </w:r>
    </w:p>
    <w:p w:rsidR="000800A8" w:rsidRPr="000800A8" w:rsidRDefault="000800A8" w:rsidP="000800A8">
      <w:pPr>
        <w:ind w:left="720"/>
      </w:pPr>
      <w:r w:rsidRPr="000800A8">
        <w:lastRenderedPageBreak/>
        <w:drawing>
          <wp:inline distT="0" distB="0" distL="0" distR="0" wp14:anchorId="5EFE0A95" wp14:editId="529E5A10">
            <wp:extent cx="5731510" cy="3241040"/>
            <wp:effectExtent l="0" t="0" r="2540" b="0"/>
            <wp:docPr id="75110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02079" name=""/>
                    <pic:cNvPicPr/>
                  </pic:nvPicPr>
                  <pic:blipFill>
                    <a:blip r:embed="rId8"/>
                    <a:stretch>
                      <a:fillRect/>
                    </a:stretch>
                  </pic:blipFill>
                  <pic:spPr>
                    <a:xfrm>
                      <a:off x="0" y="0"/>
                      <a:ext cx="5731510" cy="3241040"/>
                    </a:xfrm>
                    <a:prstGeom prst="rect">
                      <a:avLst/>
                    </a:prstGeom>
                  </pic:spPr>
                </pic:pic>
              </a:graphicData>
            </a:graphic>
          </wp:inline>
        </w:drawing>
      </w:r>
    </w:p>
    <w:p w:rsidR="000800A8" w:rsidRPr="000800A8" w:rsidRDefault="000800A8" w:rsidP="000800A8"/>
    <w:p w:rsidR="000800A8" w:rsidRPr="000800A8" w:rsidRDefault="000800A8" w:rsidP="000800A8">
      <w:pPr>
        <w:rPr>
          <w:b/>
          <w:bCs/>
        </w:rPr>
      </w:pPr>
      <w:r w:rsidRPr="000800A8">
        <w:rPr>
          <w:b/>
          <w:bCs/>
        </w:rPr>
        <w:t xml:space="preserve"> Business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962"/>
        <w:gridCol w:w="5317"/>
      </w:tblGrid>
      <w:tr w:rsidR="000800A8" w:rsidRPr="000800A8" w:rsidTr="000800A8">
        <w:trPr>
          <w:tblHeader/>
          <w:tblCellSpacing w:w="15" w:type="dxa"/>
        </w:trPr>
        <w:tc>
          <w:tcPr>
            <w:tcW w:w="0" w:type="auto"/>
            <w:vAlign w:val="center"/>
            <w:hideMark/>
          </w:tcPr>
          <w:p w:rsidR="000800A8" w:rsidRPr="000800A8" w:rsidRDefault="000800A8" w:rsidP="000800A8">
            <w:pPr>
              <w:rPr>
                <w:b/>
                <w:bCs/>
              </w:rPr>
            </w:pPr>
            <w:r w:rsidRPr="000800A8">
              <w:rPr>
                <w:b/>
                <w:bCs/>
              </w:rPr>
              <w:t>#</w:t>
            </w:r>
          </w:p>
        </w:tc>
        <w:tc>
          <w:tcPr>
            <w:tcW w:w="0" w:type="auto"/>
            <w:vAlign w:val="center"/>
            <w:hideMark/>
          </w:tcPr>
          <w:p w:rsidR="000800A8" w:rsidRPr="000800A8" w:rsidRDefault="000800A8" w:rsidP="000800A8">
            <w:pPr>
              <w:rPr>
                <w:b/>
                <w:bCs/>
              </w:rPr>
            </w:pPr>
            <w:r w:rsidRPr="000800A8">
              <w:rPr>
                <w:b/>
                <w:bCs/>
              </w:rPr>
              <w:t>Recommendation</w:t>
            </w:r>
          </w:p>
        </w:tc>
        <w:tc>
          <w:tcPr>
            <w:tcW w:w="0" w:type="auto"/>
            <w:vAlign w:val="center"/>
            <w:hideMark/>
          </w:tcPr>
          <w:p w:rsidR="000800A8" w:rsidRPr="000800A8" w:rsidRDefault="000800A8" w:rsidP="000800A8">
            <w:pPr>
              <w:rPr>
                <w:b/>
                <w:bCs/>
              </w:rPr>
            </w:pPr>
            <w:r w:rsidRPr="000800A8">
              <w:rPr>
                <w:b/>
                <w:bCs/>
              </w:rPr>
              <w:t>Justification</w:t>
            </w:r>
          </w:p>
        </w:tc>
      </w:tr>
      <w:tr w:rsidR="000800A8" w:rsidRPr="000800A8" w:rsidTr="000800A8">
        <w:trPr>
          <w:tblCellSpacing w:w="15" w:type="dxa"/>
        </w:trPr>
        <w:tc>
          <w:tcPr>
            <w:tcW w:w="0" w:type="auto"/>
            <w:vAlign w:val="center"/>
            <w:hideMark/>
          </w:tcPr>
          <w:p w:rsidR="000800A8" w:rsidRPr="000800A8" w:rsidRDefault="000800A8" w:rsidP="000800A8">
            <w:r w:rsidRPr="000800A8">
              <w:t>1</w:t>
            </w:r>
          </w:p>
        </w:tc>
        <w:tc>
          <w:tcPr>
            <w:tcW w:w="0" w:type="auto"/>
            <w:vAlign w:val="center"/>
            <w:hideMark/>
          </w:tcPr>
          <w:p w:rsidR="000800A8" w:rsidRPr="000800A8" w:rsidRDefault="000800A8" w:rsidP="000800A8">
            <w:r w:rsidRPr="000800A8">
              <w:t xml:space="preserve">Focus on high-margin categories like </w:t>
            </w:r>
            <w:r w:rsidRPr="000800A8">
              <w:rPr>
                <w:b/>
                <w:bCs/>
              </w:rPr>
              <w:t>Cosmetics</w:t>
            </w:r>
            <w:r w:rsidRPr="000800A8">
              <w:t xml:space="preserve"> and </w:t>
            </w:r>
            <w:r w:rsidRPr="000800A8">
              <w:rPr>
                <w:b/>
                <w:bCs/>
              </w:rPr>
              <w:t>Office Supplies</w:t>
            </w:r>
          </w:p>
        </w:tc>
        <w:tc>
          <w:tcPr>
            <w:tcW w:w="0" w:type="auto"/>
            <w:vAlign w:val="center"/>
            <w:hideMark/>
          </w:tcPr>
          <w:p w:rsidR="000800A8" w:rsidRPr="000800A8" w:rsidRDefault="000800A8" w:rsidP="000800A8">
            <w:r w:rsidRPr="000800A8">
              <w:t>These consistently deliver high profits with stable volume</w:t>
            </w:r>
          </w:p>
        </w:tc>
      </w:tr>
      <w:tr w:rsidR="000800A8" w:rsidRPr="000800A8" w:rsidTr="000800A8">
        <w:trPr>
          <w:tblCellSpacing w:w="15" w:type="dxa"/>
        </w:trPr>
        <w:tc>
          <w:tcPr>
            <w:tcW w:w="0" w:type="auto"/>
            <w:vAlign w:val="center"/>
            <w:hideMark/>
          </w:tcPr>
          <w:p w:rsidR="000800A8" w:rsidRPr="000800A8" w:rsidRDefault="000800A8" w:rsidP="000800A8">
            <w:r w:rsidRPr="000800A8">
              <w:t>2</w:t>
            </w:r>
          </w:p>
        </w:tc>
        <w:tc>
          <w:tcPr>
            <w:tcW w:w="0" w:type="auto"/>
            <w:vAlign w:val="center"/>
            <w:hideMark/>
          </w:tcPr>
          <w:p w:rsidR="000800A8" w:rsidRPr="000800A8" w:rsidRDefault="000800A8" w:rsidP="000800A8">
            <w:r w:rsidRPr="000800A8">
              <w:t xml:space="preserve">Optimize </w:t>
            </w:r>
            <w:r w:rsidRPr="000800A8">
              <w:rPr>
                <w:b/>
                <w:bCs/>
              </w:rPr>
              <w:t>discount strategy</w:t>
            </w:r>
            <w:r w:rsidRPr="000800A8">
              <w:t xml:space="preserve"> in low-ROI regions</w:t>
            </w:r>
          </w:p>
        </w:tc>
        <w:tc>
          <w:tcPr>
            <w:tcW w:w="0" w:type="auto"/>
            <w:vAlign w:val="center"/>
            <w:hideMark/>
          </w:tcPr>
          <w:p w:rsidR="000800A8" w:rsidRPr="000800A8" w:rsidRDefault="000800A8" w:rsidP="000800A8">
            <w:r w:rsidRPr="000800A8">
              <w:t>Discounts are not improving sales in certain regions, draining profits</w:t>
            </w:r>
          </w:p>
        </w:tc>
      </w:tr>
      <w:tr w:rsidR="000800A8" w:rsidRPr="000800A8" w:rsidTr="000800A8">
        <w:trPr>
          <w:tblCellSpacing w:w="15" w:type="dxa"/>
        </w:trPr>
        <w:tc>
          <w:tcPr>
            <w:tcW w:w="0" w:type="auto"/>
            <w:vAlign w:val="center"/>
            <w:hideMark/>
          </w:tcPr>
          <w:p w:rsidR="000800A8" w:rsidRPr="000800A8" w:rsidRDefault="000800A8" w:rsidP="000800A8">
            <w:r w:rsidRPr="000800A8">
              <w:t>3</w:t>
            </w:r>
          </w:p>
        </w:tc>
        <w:tc>
          <w:tcPr>
            <w:tcW w:w="0" w:type="auto"/>
            <w:vAlign w:val="center"/>
            <w:hideMark/>
          </w:tcPr>
          <w:p w:rsidR="000800A8" w:rsidRPr="000800A8" w:rsidRDefault="000800A8" w:rsidP="000800A8">
            <w:r w:rsidRPr="000800A8">
              <w:t xml:space="preserve">Discontinue or rework </w:t>
            </w:r>
            <w:r w:rsidRPr="000800A8">
              <w:rPr>
                <w:b/>
                <w:bCs/>
              </w:rPr>
              <w:t>low-performing categories</w:t>
            </w:r>
          </w:p>
        </w:tc>
        <w:tc>
          <w:tcPr>
            <w:tcW w:w="0" w:type="auto"/>
            <w:vAlign w:val="center"/>
            <w:hideMark/>
          </w:tcPr>
          <w:p w:rsidR="000800A8" w:rsidRPr="000800A8" w:rsidRDefault="000800A8" w:rsidP="000800A8">
            <w:r w:rsidRPr="000800A8">
              <w:t>Fruits, Snacks, and Beverages yield low margins despite discounts</w:t>
            </w:r>
          </w:p>
        </w:tc>
      </w:tr>
      <w:tr w:rsidR="000800A8" w:rsidRPr="000800A8" w:rsidTr="000800A8">
        <w:trPr>
          <w:tblCellSpacing w:w="15" w:type="dxa"/>
        </w:trPr>
        <w:tc>
          <w:tcPr>
            <w:tcW w:w="0" w:type="auto"/>
            <w:vAlign w:val="center"/>
            <w:hideMark/>
          </w:tcPr>
          <w:p w:rsidR="000800A8" w:rsidRPr="000800A8" w:rsidRDefault="000800A8" w:rsidP="000800A8">
            <w:r w:rsidRPr="000800A8">
              <w:t>4</w:t>
            </w:r>
          </w:p>
        </w:tc>
        <w:tc>
          <w:tcPr>
            <w:tcW w:w="0" w:type="auto"/>
            <w:vAlign w:val="center"/>
            <w:hideMark/>
          </w:tcPr>
          <w:p w:rsidR="000800A8" w:rsidRPr="000800A8" w:rsidRDefault="000800A8" w:rsidP="000800A8">
            <w:r w:rsidRPr="000800A8">
              <w:t xml:space="preserve">Expand </w:t>
            </w:r>
            <w:r w:rsidRPr="000800A8">
              <w:rPr>
                <w:b/>
                <w:bCs/>
              </w:rPr>
              <w:t>offline operations</w:t>
            </w:r>
            <w:r w:rsidRPr="000800A8">
              <w:t xml:space="preserve"> for profitable, non-digital product lines</w:t>
            </w:r>
          </w:p>
        </w:tc>
        <w:tc>
          <w:tcPr>
            <w:tcW w:w="0" w:type="auto"/>
            <w:vAlign w:val="center"/>
            <w:hideMark/>
          </w:tcPr>
          <w:p w:rsidR="000800A8" w:rsidRPr="000800A8" w:rsidRDefault="000800A8" w:rsidP="000800A8">
            <w:r w:rsidRPr="000800A8">
              <w:t>Offline sales outperform in specific categories, especially bulk supplies</w:t>
            </w:r>
          </w:p>
        </w:tc>
      </w:tr>
      <w:tr w:rsidR="000800A8" w:rsidRPr="000800A8" w:rsidTr="000800A8">
        <w:trPr>
          <w:tblCellSpacing w:w="15" w:type="dxa"/>
        </w:trPr>
        <w:tc>
          <w:tcPr>
            <w:tcW w:w="0" w:type="auto"/>
            <w:vAlign w:val="center"/>
            <w:hideMark/>
          </w:tcPr>
          <w:p w:rsidR="000800A8" w:rsidRPr="000800A8" w:rsidRDefault="000800A8" w:rsidP="000800A8">
            <w:r w:rsidRPr="000800A8">
              <w:t>5</w:t>
            </w:r>
          </w:p>
        </w:tc>
        <w:tc>
          <w:tcPr>
            <w:tcW w:w="0" w:type="auto"/>
            <w:vAlign w:val="center"/>
            <w:hideMark/>
          </w:tcPr>
          <w:p w:rsidR="000800A8" w:rsidRPr="000800A8" w:rsidRDefault="000800A8" w:rsidP="000800A8">
            <w:r w:rsidRPr="000800A8">
              <w:t xml:space="preserve">Use </w:t>
            </w:r>
            <w:r w:rsidRPr="000800A8">
              <w:rPr>
                <w:b/>
                <w:bCs/>
              </w:rPr>
              <w:t>Order Priority as a segmentation metric</w:t>
            </w:r>
          </w:p>
        </w:tc>
        <w:tc>
          <w:tcPr>
            <w:tcW w:w="0" w:type="auto"/>
            <w:vAlign w:val="center"/>
            <w:hideMark/>
          </w:tcPr>
          <w:p w:rsidR="000800A8" w:rsidRPr="000800A8" w:rsidRDefault="000800A8" w:rsidP="000800A8">
            <w:r w:rsidRPr="000800A8">
              <w:t>High-priority orders yield stronger profits — can be leveraged for upselling</w:t>
            </w:r>
          </w:p>
        </w:tc>
      </w:tr>
    </w:tbl>
    <w:p w:rsidR="000800A8" w:rsidRPr="000800A8" w:rsidRDefault="000800A8" w:rsidP="000800A8"/>
    <w:p w:rsidR="000800A8" w:rsidRPr="000800A8" w:rsidRDefault="000800A8" w:rsidP="000800A8">
      <w:pPr>
        <w:rPr>
          <w:b/>
          <w:bCs/>
        </w:rPr>
      </w:pPr>
      <w:r w:rsidRPr="000800A8">
        <w:rPr>
          <w:b/>
          <w:bCs/>
        </w:rPr>
        <w:t xml:space="preserve"> Data Preparation Summary</w:t>
      </w:r>
    </w:p>
    <w:p w:rsidR="000800A8" w:rsidRPr="000800A8" w:rsidRDefault="000800A8" w:rsidP="000800A8">
      <w:pPr>
        <w:numPr>
          <w:ilvl w:val="0"/>
          <w:numId w:val="4"/>
        </w:numPr>
      </w:pPr>
      <w:r w:rsidRPr="000800A8">
        <w:t>Cleaned null entries in Profit, Discount, and Priority fields</w:t>
      </w:r>
    </w:p>
    <w:p w:rsidR="000800A8" w:rsidRPr="000800A8" w:rsidRDefault="000800A8" w:rsidP="000800A8">
      <w:pPr>
        <w:numPr>
          <w:ilvl w:val="0"/>
          <w:numId w:val="4"/>
        </w:numPr>
      </w:pPr>
      <w:r w:rsidRPr="000800A8">
        <w:t>Standardized category and region labels</w:t>
      </w:r>
    </w:p>
    <w:p w:rsidR="000800A8" w:rsidRPr="000800A8" w:rsidRDefault="000800A8" w:rsidP="000800A8">
      <w:pPr>
        <w:numPr>
          <w:ilvl w:val="0"/>
          <w:numId w:val="4"/>
        </w:numPr>
      </w:pPr>
      <w:r w:rsidRPr="000800A8">
        <w:t>Transformed Order Date into Date/Time format for temporal analysis</w:t>
      </w:r>
    </w:p>
    <w:p w:rsidR="000800A8" w:rsidRPr="000800A8" w:rsidRDefault="000800A8" w:rsidP="000800A8">
      <w:pPr>
        <w:numPr>
          <w:ilvl w:val="0"/>
          <w:numId w:val="4"/>
        </w:numPr>
      </w:pPr>
      <w:r w:rsidRPr="000800A8">
        <w:t>Created calculated columns and custom DAX measures:</w:t>
      </w:r>
    </w:p>
    <w:p w:rsidR="000800A8" w:rsidRPr="000800A8" w:rsidRDefault="000800A8" w:rsidP="000800A8">
      <w:pPr>
        <w:numPr>
          <w:ilvl w:val="1"/>
          <w:numId w:val="4"/>
        </w:numPr>
      </w:pPr>
      <w:r w:rsidRPr="000800A8">
        <w:t>Profit Margin = Profit ÷ Revenue</w:t>
      </w:r>
    </w:p>
    <w:p w:rsidR="000800A8" w:rsidRPr="000800A8" w:rsidRDefault="000800A8" w:rsidP="000800A8">
      <w:pPr>
        <w:numPr>
          <w:ilvl w:val="1"/>
          <w:numId w:val="4"/>
        </w:numPr>
      </w:pPr>
      <w:r w:rsidRPr="000800A8">
        <w:t>YoY Growth %</w:t>
      </w:r>
    </w:p>
    <w:p w:rsidR="000800A8" w:rsidRPr="000800A8" w:rsidRDefault="000800A8" w:rsidP="000800A8">
      <w:pPr>
        <w:numPr>
          <w:ilvl w:val="1"/>
          <w:numId w:val="4"/>
        </w:numPr>
      </w:pPr>
      <w:r w:rsidRPr="000800A8">
        <w:t>Average Order Value</w:t>
      </w:r>
    </w:p>
    <w:p w:rsidR="000800A8" w:rsidRPr="000800A8" w:rsidRDefault="000800A8" w:rsidP="000800A8">
      <w:r w:rsidRPr="000800A8">
        <w:pict>
          <v:rect id="_x0000_i1079" style="width:0;height:1.5pt" o:hralign="center" o:hrstd="t" o:hr="t" fillcolor="#a0a0a0" stroked="f"/>
        </w:pict>
      </w:r>
    </w:p>
    <w:p w:rsidR="000800A8" w:rsidRPr="000800A8" w:rsidRDefault="000800A8" w:rsidP="000800A8">
      <w:pPr>
        <w:rPr>
          <w:b/>
          <w:bCs/>
        </w:rPr>
      </w:pPr>
      <w:r w:rsidRPr="000800A8">
        <w:rPr>
          <w:b/>
          <w:bCs/>
        </w:rPr>
        <w:lastRenderedPageBreak/>
        <w:t xml:space="preserve"> Future Scope</w:t>
      </w:r>
    </w:p>
    <w:p w:rsidR="000800A8" w:rsidRPr="000800A8" w:rsidRDefault="000800A8" w:rsidP="000800A8">
      <w:pPr>
        <w:numPr>
          <w:ilvl w:val="0"/>
          <w:numId w:val="5"/>
        </w:numPr>
      </w:pPr>
      <w:r w:rsidRPr="000800A8">
        <w:t>Add forecasting trends using built-in Power BI analytics</w:t>
      </w:r>
    </w:p>
    <w:p w:rsidR="000800A8" w:rsidRPr="000800A8" w:rsidRDefault="000800A8" w:rsidP="000800A8">
      <w:pPr>
        <w:numPr>
          <w:ilvl w:val="0"/>
          <w:numId w:val="5"/>
        </w:numPr>
      </w:pPr>
      <w:r w:rsidRPr="000800A8">
        <w:t>Integrate live data through APIs or Azure for auto-refreshing reports</w:t>
      </w:r>
    </w:p>
    <w:p w:rsidR="000800A8" w:rsidRPr="000800A8" w:rsidRDefault="000800A8" w:rsidP="000800A8">
      <w:pPr>
        <w:numPr>
          <w:ilvl w:val="0"/>
          <w:numId w:val="5"/>
        </w:numPr>
      </w:pPr>
      <w:r w:rsidRPr="000800A8">
        <w:t>Build mobile dashboard layout for executive consumption</w:t>
      </w:r>
    </w:p>
    <w:p w:rsidR="000800A8" w:rsidRPr="000800A8" w:rsidRDefault="000800A8" w:rsidP="000800A8">
      <w:pPr>
        <w:numPr>
          <w:ilvl w:val="0"/>
          <w:numId w:val="5"/>
        </w:numPr>
      </w:pPr>
      <w:r w:rsidRPr="000800A8">
        <w:t>Incorporate RFM segmentation (Recency, Frequency, Monetary) for customer-level insights</w:t>
      </w:r>
    </w:p>
    <w:p w:rsidR="000800A8" w:rsidRDefault="000800A8" w:rsidP="000800A8">
      <w:r w:rsidRPr="000800A8">
        <w:pict>
          <v:rect id="_x0000_i1080" style="width:0;height:1.5pt" o:hralign="center" o:hrstd="t" o:hr="t" fillcolor="#a0a0a0" stroked="f"/>
        </w:pict>
      </w:r>
    </w:p>
    <w:p w:rsidR="000800A8" w:rsidRPr="000800A8" w:rsidRDefault="000800A8" w:rsidP="000800A8">
      <w:r w:rsidRPr="000800A8">
        <w:rPr>
          <w:b/>
          <w:bCs/>
        </w:rPr>
        <w:t xml:space="preserve"> About the Analyst</w:t>
      </w:r>
    </w:p>
    <w:p w:rsidR="000800A8" w:rsidRPr="000800A8" w:rsidRDefault="000800A8" w:rsidP="000800A8">
      <w:r w:rsidRPr="000800A8">
        <w:rPr>
          <w:b/>
          <w:bCs/>
        </w:rPr>
        <w:t>Rishita Singh</w:t>
      </w:r>
      <w:r w:rsidRPr="000800A8">
        <w:t xml:space="preserve"> is a pre-final year Computer Science Engineering student and a Data Research Intern, specializing in dashboarding and data storytelling using Power BI and Excel. She is currently building portfolio projects in </w:t>
      </w:r>
      <w:r>
        <w:t xml:space="preserve">data and product </w:t>
      </w:r>
      <w:r w:rsidRPr="000800A8">
        <w:t>analytics and visual insights for retail and operations.</w:t>
      </w:r>
    </w:p>
    <w:p w:rsidR="000800A8" w:rsidRPr="000800A8" w:rsidRDefault="000800A8" w:rsidP="000800A8"/>
    <w:p w:rsidR="001F5C3C" w:rsidRDefault="001F5C3C" w:rsidP="000800A8">
      <w:pPr>
        <w:jc w:val="center"/>
      </w:pPr>
    </w:p>
    <w:sectPr w:rsidR="001F5C3C" w:rsidSect="000800A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0E5F"/>
    <w:multiLevelType w:val="multilevel"/>
    <w:tmpl w:val="E452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67AE3"/>
    <w:multiLevelType w:val="multilevel"/>
    <w:tmpl w:val="301C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7458B"/>
    <w:multiLevelType w:val="multilevel"/>
    <w:tmpl w:val="602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1367D"/>
    <w:multiLevelType w:val="multilevel"/>
    <w:tmpl w:val="17E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76A40"/>
    <w:multiLevelType w:val="multilevel"/>
    <w:tmpl w:val="AE2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328798">
    <w:abstractNumId w:val="2"/>
  </w:num>
  <w:num w:numId="2" w16cid:durableId="1802188385">
    <w:abstractNumId w:val="0"/>
  </w:num>
  <w:num w:numId="3" w16cid:durableId="1781801178">
    <w:abstractNumId w:val="3"/>
  </w:num>
  <w:num w:numId="4" w16cid:durableId="1151558892">
    <w:abstractNumId w:val="1"/>
  </w:num>
  <w:num w:numId="5" w16cid:durableId="91979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A8"/>
    <w:rsid w:val="000366F0"/>
    <w:rsid w:val="000800A8"/>
    <w:rsid w:val="001F5C3C"/>
    <w:rsid w:val="0046106C"/>
    <w:rsid w:val="004A4E9D"/>
    <w:rsid w:val="0065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FA78"/>
  <w15:chartTrackingRefBased/>
  <w15:docId w15:val="{4806E2CC-71A9-4990-93F5-A968BA65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0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0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0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0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0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00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0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0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0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0A8"/>
    <w:rPr>
      <w:rFonts w:eastAsiaTheme="majorEastAsia" w:cstheme="majorBidi"/>
      <w:color w:val="272727" w:themeColor="text1" w:themeTint="D8"/>
    </w:rPr>
  </w:style>
  <w:style w:type="paragraph" w:styleId="Title">
    <w:name w:val="Title"/>
    <w:basedOn w:val="Normal"/>
    <w:next w:val="Normal"/>
    <w:link w:val="TitleChar"/>
    <w:uiPriority w:val="10"/>
    <w:qFormat/>
    <w:rsid w:val="00080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0A8"/>
    <w:pPr>
      <w:spacing w:before="160"/>
      <w:jc w:val="center"/>
    </w:pPr>
    <w:rPr>
      <w:i/>
      <w:iCs/>
      <w:color w:val="404040" w:themeColor="text1" w:themeTint="BF"/>
    </w:rPr>
  </w:style>
  <w:style w:type="character" w:customStyle="1" w:styleId="QuoteChar">
    <w:name w:val="Quote Char"/>
    <w:basedOn w:val="DefaultParagraphFont"/>
    <w:link w:val="Quote"/>
    <w:uiPriority w:val="29"/>
    <w:rsid w:val="000800A8"/>
    <w:rPr>
      <w:i/>
      <w:iCs/>
      <w:color w:val="404040" w:themeColor="text1" w:themeTint="BF"/>
    </w:rPr>
  </w:style>
  <w:style w:type="paragraph" w:styleId="ListParagraph">
    <w:name w:val="List Paragraph"/>
    <w:basedOn w:val="Normal"/>
    <w:uiPriority w:val="34"/>
    <w:qFormat/>
    <w:rsid w:val="000800A8"/>
    <w:pPr>
      <w:ind w:left="720"/>
      <w:contextualSpacing/>
    </w:pPr>
  </w:style>
  <w:style w:type="character" w:styleId="IntenseEmphasis">
    <w:name w:val="Intense Emphasis"/>
    <w:basedOn w:val="DefaultParagraphFont"/>
    <w:uiPriority w:val="21"/>
    <w:qFormat/>
    <w:rsid w:val="000800A8"/>
    <w:rPr>
      <w:i/>
      <w:iCs/>
      <w:color w:val="2F5496" w:themeColor="accent1" w:themeShade="BF"/>
    </w:rPr>
  </w:style>
  <w:style w:type="paragraph" w:styleId="IntenseQuote">
    <w:name w:val="Intense Quote"/>
    <w:basedOn w:val="Normal"/>
    <w:next w:val="Normal"/>
    <w:link w:val="IntenseQuoteChar"/>
    <w:uiPriority w:val="30"/>
    <w:qFormat/>
    <w:rsid w:val="000800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0A8"/>
    <w:rPr>
      <w:i/>
      <w:iCs/>
      <w:color w:val="2F5496" w:themeColor="accent1" w:themeShade="BF"/>
    </w:rPr>
  </w:style>
  <w:style w:type="character" w:styleId="IntenseReference">
    <w:name w:val="Intense Reference"/>
    <w:basedOn w:val="DefaultParagraphFont"/>
    <w:uiPriority w:val="32"/>
    <w:qFormat/>
    <w:rsid w:val="000800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89009">
      <w:bodyDiv w:val="1"/>
      <w:marLeft w:val="0"/>
      <w:marRight w:val="0"/>
      <w:marTop w:val="0"/>
      <w:marBottom w:val="0"/>
      <w:divBdr>
        <w:top w:val="none" w:sz="0" w:space="0" w:color="auto"/>
        <w:left w:val="none" w:sz="0" w:space="0" w:color="auto"/>
        <w:bottom w:val="none" w:sz="0" w:space="0" w:color="auto"/>
        <w:right w:val="none" w:sz="0" w:space="0" w:color="auto"/>
      </w:divBdr>
    </w:div>
    <w:div w:id="834882252">
      <w:bodyDiv w:val="1"/>
      <w:marLeft w:val="0"/>
      <w:marRight w:val="0"/>
      <w:marTop w:val="0"/>
      <w:marBottom w:val="0"/>
      <w:divBdr>
        <w:top w:val="none" w:sz="0" w:space="0" w:color="auto"/>
        <w:left w:val="none" w:sz="0" w:space="0" w:color="auto"/>
        <w:bottom w:val="none" w:sz="0" w:space="0" w:color="auto"/>
        <w:right w:val="none" w:sz="0" w:space="0" w:color="auto"/>
      </w:divBdr>
      <w:divsChild>
        <w:div w:id="252979615">
          <w:marLeft w:val="0"/>
          <w:marRight w:val="0"/>
          <w:marTop w:val="0"/>
          <w:marBottom w:val="0"/>
          <w:divBdr>
            <w:top w:val="none" w:sz="0" w:space="0" w:color="auto"/>
            <w:left w:val="none" w:sz="0" w:space="0" w:color="auto"/>
            <w:bottom w:val="none" w:sz="0" w:space="0" w:color="auto"/>
            <w:right w:val="none" w:sz="0" w:space="0" w:color="auto"/>
          </w:divBdr>
          <w:divsChild>
            <w:div w:id="447748708">
              <w:marLeft w:val="0"/>
              <w:marRight w:val="0"/>
              <w:marTop w:val="0"/>
              <w:marBottom w:val="0"/>
              <w:divBdr>
                <w:top w:val="none" w:sz="0" w:space="0" w:color="auto"/>
                <w:left w:val="none" w:sz="0" w:space="0" w:color="auto"/>
                <w:bottom w:val="none" w:sz="0" w:space="0" w:color="auto"/>
                <w:right w:val="none" w:sz="0" w:space="0" w:color="auto"/>
              </w:divBdr>
            </w:div>
          </w:divsChild>
        </w:div>
        <w:div w:id="212155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560182">
          <w:marLeft w:val="0"/>
          <w:marRight w:val="0"/>
          <w:marTop w:val="0"/>
          <w:marBottom w:val="0"/>
          <w:divBdr>
            <w:top w:val="none" w:sz="0" w:space="0" w:color="auto"/>
            <w:left w:val="none" w:sz="0" w:space="0" w:color="auto"/>
            <w:bottom w:val="none" w:sz="0" w:space="0" w:color="auto"/>
            <w:right w:val="none" w:sz="0" w:space="0" w:color="auto"/>
          </w:divBdr>
          <w:divsChild>
            <w:div w:id="9312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344">
      <w:bodyDiv w:val="1"/>
      <w:marLeft w:val="0"/>
      <w:marRight w:val="0"/>
      <w:marTop w:val="0"/>
      <w:marBottom w:val="0"/>
      <w:divBdr>
        <w:top w:val="none" w:sz="0" w:space="0" w:color="auto"/>
        <w:left w:val="none" w:sz="0" w:space="0" w:color="auto"/>
        <w:bottom w:val="none" w:sz="0" w:space="0" w:color="auto"/>
        <w:right w:val="none" w:sz="0" w:space="0" w:color="auto"/>
      </w:divBdr>
    </w:div>
    <w:div w:id="1061950345">
      <w:bodyDiv w:val="1"/>
      <w:marLeft w:val="0"/>
      <w:marRight w:val="0"/>
      <w:marTop w:val="0"/>
      <w:marBottom w:val="0"/>
      <w:divBdr>
        <w:top w:val="none" w:sz="0" w:space="0" w:color="auto"/>
        <w:left w:val="none" w:sz="0" w:space="0" w:color="auto"/>
        <w:bottom w:val="none" w:sz="0" w:space="0" w:color="auto"/>
        <w:right w:val="none" w:sz="0" w:space="0" w:color="auto"/>
      </w:divBdr>
      <w:divsChild>
        <w:div w:id="648362310">
          <w:marLeft w:val="0"/>
          <w:marRight w:val="0"/>
          <w:marTop w:val="0"/>
          <w:marBottom w:val="0"/>
          <w:divBdr>
            <w:top w:val="none" w:sz="0" w:space="0" w:color="auto"/>
            <w:left w:val="none" w:sz="0" w:space="0" w:color="auto"/>
            <w:bottom w:val="none" w:sz="0" w:space="0" w:color="auto"/>
            <w:right w:val="none" w:sz="0" w:space="0" w:color="auto"/>
          </w:divBdr>
          <w:divsChild>
            <w:div w:id="1741100615">
              <w:marLeft w:val="0"/>
              <w:marRight w:val="0"/>
              <w:marTop w:val="0"/>
              <w:marBottom w:val="0"/>
              <w:divBdr>
                <w:top w:val="none" w:sz="0" w:space="0" w:color="auto"/>
                <w:left w:val="none" w:sz="0" w:space="0" w:color="auto"/>
                <w:bottom w:val="none" w:sz="0" w:space="0" w:color="auto"/>
                <w:right w:val="none" w:sz="0" w:space="0" w:color="auto"/>
              </w:divBdr>
            </w:div>
          </w:divsChild>
        </w:div>
        <w:div w:id="91246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5582708">
          <w:marLeft w:val="0"/>
          <w:marRight w:val="0"/>
          <w:marTop w:val="0"/>
          <w:marBottom w:val="0"/>
          <w:divBdr>
            <w:top w:val="none" w:sz="0" w:space="0" w:color="auto"/>
            <w:left w:val="none" w:sz="0" w:space="0" w:color="auto"/>
            <w:bottom w:val="none" w:sz="0" w:space="0" w:color="auto"/>
            <w:right w:val="none" w:sz="0" w:space="0" w:color="auto"/>
          </w:divBdr>
          <w:divsChild>
            <w:div w:id="15627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2725">
      <w:bodyDiv w:val="1"/>
      <w:marLeft w:val="0"/>
      <w:marRight w:val="0"/>
      <w:marTop w:val="0"/>
      <w:marBottom w:val="0"/>
      <w:divBdr>
        <w:top w:val="none" w:sz="0" w:space="0" w:color="auto"/>
        <w:left w:val="none" w:sz="0" w:space="0" w:color="auto"/>
        <w:bottom w:val="none" w:sz="0" w:space="0" w:color="auto"/>
        <w:right w:val="none" w:sz="0" w:space="0" w:color="auto"/>
      </w:divBdr>
    </w:div>
    <w:div w:id="1695381225">
      <w:bodyDiv w:val="1"/>
      <w:marLeft w:val="0"/>
      <w:marRight w:val="0"/>
      <w:marTop w:val="0"/>
      <w:marBottom w:val="0"/>
      <w:divBdr>
        <w:top w:val="none" w:sz="0" w:space="0" w:color="auto"/>
        <w:left w:val="none" w:sz="0" w:space="0" w:color="auto"/>
        <w:bottom w:val="none" w:sz="0" w:space="0" w:color="auto"/>
        <w:right w:val="none" w:sz="0" w:space="0" w:color="auto"/>
      </w:divBdr>
    </w:div>
    <w:div w:id="2071297395">
      <w:bodyDiv w:val="1"/>
      <w:marLeft w:val="0"/>
      <w:marRight w:val="0"/>
      <w:marTop w:val="0"/>
      <w:marBottom w:val="0"/>
      <w:divBdr>
        <w:top w:val="none" w:sz="0" w:space="0" w:color="auto"/>
        <w:left w:val="none" w:sz="0" w:space="0" w:color="auto"/>
        <w:bottom w:val="none" w:sz="0" w:space="0" w:color="auto"/>
        <w:right w:val="none" w:sz="0" w:space="0" w:color="auto"/>
      </w:divBdr>
    </w:div>
    <w:div w:id="21359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C77F-0E16-4C41-99E0-2572B8D1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SINGH</dc:creator>
  <cp:keywords/>
  <dc:description/>
  <cp:lastModifiedBy>RISHITA SINGH</cp:lastModifiedBy>
  <cp:revision>1</cp:revision>
  <dcterms:created xsi:type="dcterms:W3CDTF">2025-06-22T10:59:00Z</dcterms:created>
  <dcterms:modified xsi:type="dcterms:W3CDTF">2025-06-22T11:07:00Z</dcterms:modified>
</cp:coreProperties>
</file>