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4"/>
          <w:szCs w:val="34"/>
        </w:rPr>
        <w:t xml:space="preserve">PROCURO INDIA</w:t>
      </w:r>
    </w:p>
    <w:p>
      <w:pPr>
        <w:spacing w:after="80"/>
        <w:jc w:val="center"/>
      </w:pPr>
      <w:r>
        <w:rPr>
          <w:color w:val="2E75B6"/>
          <w:sz w:val="24"/>
          <w:szCs w:val="24"/>
        </w:rPr>
        <w:t xml:space="preserve">Strategic Direction Report — Version 3</w:t>
      </w:r>
    </w:p>
    <w:p>
      <w:pPr>
        <w:spacing w:after="40"/>
        <w:jc w:val="center"/>
      </w:pPr>
      <w:r>
        <w:rPr>
          <w:i/>
          <w:iCs/>
          <w:color w:val="404040"/>
          <w:sz w:val="18"/>
          <w:szCs w:val="18"/>
        </w:rPr>
        <w:t xml:space="preserve">Horizontal Procurement Capability  |  Proof Category 1: Stone &amp; Minerals</w:t>
      </w:r>
    </w:p>
    <w:p>
      <w:pPr>
        <w:spacing w:after="220"/>
        <w:jc w:val="center"/>
      </w:pPr>
      <w:r>
        <w:rPr>
          <w:color w:val="666666"/>
          <w:sz w:val="16"/>
          <w:szCs w:val="16"/>
        </w:rPr>
        <w:t xml:space="preserve">August 2026  |  Internal Decision Document</w:t>
      </w:r>
    </w:p>
    <w:p>
      <w:pPr>
        <w:pStyle w:val="Heading1"/>
      </w:pPr>
      <w:r>
        <w:t xml:space="preserve">1. Executive Summary — Company Type Declared</w:t>
      </w:r>
    </w:p>
    <w:p>
      <w:pPr>
        <w:spacing w:after="100"/>
      </w:pPr>
      <w:r>
        <w:rPr>
          <w:b/>
          <w:bCs/>
        </w:rPr>
        <w:t xml:space="preserve">Procuro is a horizontal verification and managed-sourcing capability for international buyers. </w:t>
      </w:r>
      <w:r>
        <w:t xml:space="preserve">An international buyer with no India organisation can hand Procuro a physical-goods specification and receive, within a stated turnaround, a short list of verified, contactable, commercially ready Indian manufacturers with evidence attached — and can then hand the sourcing process itself to Procuro.</w:t>
      </w:r>
    </w:p>
    <w:p>
      <w:pPr>
        <w:spacing w:after="100"/>
      </w:pPr>
      <w:r>
        <w:t xml:space="preserve">Stone and specialised minerals are </w:t>
      </w:r>
      <w:r>
        <w:rPr>
          <w:b/>
          <w:bCs/>
        </w:rPr>
        <w:t xml:space="preserve">Proof Category 1</w:t>
      </w:r>
      <w:r>
        <w:t xml:space="preserve"> — the first vertical used to prove the machine, not the permanent identity of the company. The endgame is infrastructure: a reusable source-onboarding playbook, a category-parameterised verification methodology, and buyer relationships that pull additional categories commercially.</w:t>
      </w:r>
    </w:p>
    <w:p>
      <w:pPr>
        <w:spacing w:after="100"/>
      </w:pPr>
      <w:r>
        <w:t xml:space="preserve">The Manufacturing Visibility Database is treated as a utility with engine optionality. Coverage expands only against live commercial demand. Design standards are engine-grade (category-parameterised schema and a source-onboarding playbook written as a byproduct of every onboarding). Promotion to full engine is gated on two metrics reviewed at the end of the pilot: spine leverage exceeding 60% and second-category onboarding cost below 40% of the first.</w:t>
      </w:r>
    </w:p>
    <w:p>
      <w:pPr>
        <w:spacing w:after="120"/>
      </w:pPr>
      <w:r>
        <w:t xml:space="preserve">Domestic presence is scoped tightly: opportunistic back-to-back trades only where a verified plant and a known buyer already exist.</w:t>
      </w:r>
    </w:p>
    <w:p>
      <w:pPr>
        <w:pStyle w:val="Heading1"/>
      </w:pPr>
      <w:r>
        <w:t xml:space="preserve">2. What Compounds Under This Vision</w:t>
      </w:r>
    </w:p>
    <w:p>
      <w:pPr>
        <w:spacing w:after="80"/>
      </w:pPr>
      <w:r>
        <w:t xml:space="preserve">Category knowledge is spent when the company leaves the category. Three assets compound:</w:t>
      </w:r>
    </w:p>
    <w:p>
      <w:pPr>
        <w:pStyle w:val="ListParagraph"/>
        <w:numPr>
          <w:ilvl w:val="0"/>
          <w:numId w:val="2"/>
        </w:numPr>
      </w:pPr>
      <w:r>
        <w:rPr>
          <w:b/>
          <w:bCs/>
        </w:rPr>
        <w:t xml:space="preserve">Source-onboarding playbook: </w:t>
      </w:r>
      <w:r>
        <w:t xml:space="preserve">the repeatable method for standing up a new category or state (registries, portals, RTI, industry bodies, time, cost). Every category onboarded should make the next one cheaper.</w:t>
      </w:r>
    </w:p>
    <w:p>
      <w:pPr>
        <w:pStyle w:val="ListParagraph"/>
        <w:numPr>
          <w:ilvl w:val="0"/>
          <w:numId w:val="2"/>
        </w:numPr>
      </w:pPr>
      <w:r>
        <w:rPr>
          <w:b/>
          <w:bCs/>
        </w:rPr>
        <w:t xml:space="preserve">Verification methodology: </w:t>
      </w:r>
      <w:r>
        <w:t xml:space="preserve">tiered, versioned, and parameterised by category so that adding a category means setting parameters, not designing from scratch.</w:t>
      </w:r>
    </w:p>
    <w:p>
      <w:pPr>
        <w:pStyle w:val="ListParagraph"/>
        <w:numPr>
          <w:ilvl w:val="0"/>
          <w:numId w:val="2"/>
        </w:numPr>
      </w:pPr>
      <w:r>
        <w:rPr>
          <w:b/>
          <w:bCs/>
        </w:rPr>
        <w:t xml:space="preserve">Buyer relationships: </w:t>
      </w:r>
      <w:r>
        <w:t xml:space="preserve">the horizontal path runs through the buyer. A buyer who trusts Procuro on granite will ask about packaging, castings, or fittings. Breadth is earned commercially, not built speculatively.</w:t>
      </w:r>
    </w:p>
    <w:p>
      <w:pPr>
        <w:spacing w:after="120" w:before="80"/>
      </w:pPr>
      <w:r>
        <w:rPr>
          <w:b/>
          <w:bCs/>
        </w:rPr>
        <w:t xml:space="preserve">Headline metric: </w:t>
      </w:r>
      <w:r>
        <w:t xml:space="preserve">second-category onboarding cost as a percentage of first-category cost. Target: below 40%. This single number distinguishes a platform from a sequence of verticals.</w:t>
      </w:r>
    </w:p>
    <w:p>
      <w:pPr>
        <w:pStyle w:val="Heading1"/>
      </w:pPr>
      <w:r>
        <w:t xml:space="preserve">3. Competitive Set for Verification + Managed Sourcing</w:t>
      </w:r>
    </w:p>
    <w:p>
      <w:pPr>
        <w:spacing w:after="80"/>
      </w:pPr>
      <w:r>
        <w:t xml:space="preserve">An international buyer evaluates Procuro against firms already selling “find, qualify, and manage the supplier” or “audit the factory,” not against domestic full-stack platforms.</w:t>
      </w:r>
    </w:p>
    <w:p>
      <w:pPr>
        <w:pStyle w:val="Heading2"/>
      </w:pPr>
      <w:r>
        <w:t xml:space="preserve">3.1 Sourcing agencies and buying houses</w:t>
      </w:r>
    </w:p>
    <w:p>
      <w:pPr>
        <w:spacing w:after="80"/>
      </w:pPr>
      <w:r>
        <w:t xml:space="preserve">ET2C-style buying offices and India-based export agents offer discovery, qualification, and management on commission (typically 3–8%) or retainer. They have relationships. Most lack a systematic public-data spine that lowers the cost of initial verification and an explicit independence posture when the client wants audit rather than intermediacy.</w:t>
      </w:r>
    </w:p>
    <w:p>
      <w:pPr>
        <w:pStyle w:val="Heading2"/>
      </w:pPr>
      <w:r>
        <w:t xml:space="preserve">3.2 Inspection majors</w:t>
      </w:r>
    </w:p>
    <w:p>
      <w:pPr>
        <w:spacing w:after="80"/>
      </w:pPr>
      <w:r>
        <w:t xml:space="preserve">QIMA, SGS, Bureau Veritas sell factory audits and pre-shipment inspections. Indicative 2026 India rates: QIMA approximately $300–700 per man-day for many categories (published site pricing starts near $419–$669 depending on service); SGS and Bureau Veritas often $650–1,200+ for complex or certification-linked work. Strong at point-in-time checks. They do not maintain an ongoing manufacturer graph or run managed RFQ processes.</w:t>
      </w:r>
    </w:p>
    <w:p>
      <w:pPr>
        <w:pStyle w:val="Heading2"/>
      </w:pPr>
      <w:r>
        <w:t xml:space="preserve">3.3 AI supplier-discovery tools</w:t>
      </w:r>
    </w:p>
    <w:p>
      <w:pPr>
        <w:spacing w:after="80"/>
      </w:pPr>
      <w:r>
        <w:t xml:space="preserve">Tools that scrape registries and trade data commoditise the first shortlist. They do not produce ground-truthed capacity, quality evidence, or willingness-to-supply confirmation. Value therefore migrates to verified, commercially actionable options and process ownership.</w:t>
      </w:r>
    </w:p>
    <w:p>
      <w:pPr>
        <w:pStyle w:val="Heading2"/>
      </w:pPr>
      <w:r>
        <w:t xml:space="preserve">3.4 Differentiation</w:t>
      </w:r>
    </w:p>
    <w:p>
      <w:pPr>
        <w:pStyle w:val="ListParagraph"/>
        <w:numPr>
          <w:ilvl w:val="0"/>
          <w:numId w:val="2"/>
        </w:numPr>
      </w:pPr>
      <w:r>
        <w:t xml:space="preserve">Public-data spine lowers cost per verified plant versus pure manual discovery.</w:t>
      </w:r>
    </w:p>
    <w:p>
      <w:pPr>
        <w:pStyle w:val="ListParagraph"/>
        <w:numPr>
          <w:ilvl w:val="0"/>
          <w:numId w:val="2"/>
        </w:numPr>
      </w:pPr>
      <w:r>
        <w:t xml:space="preserve">Confidence-tiered records refreshed over time, not one-off audits.</w:t>
      </w:r>
    </w:p>
    <w:p>
      <w:pPr>
        <w:pStyle w:val="ListParagraph"/>
        <w:numPr>
          <w:ilvl w:val="0"/>
          <w:numId w:val="2"/>
        </w:numPr>
      </w:pPr>
      <w:r>
        <w:t xml:space="preserve">Managed process attached; independent audit available under a strict conflict rule.</w:t>
      </w:r>
    </w:p>
    <w:p>
      <w:pPr>
        <w:pStyle w:val="ListParagraph"/>
        <w:numPr>
          <w:ilvl w:val="0"/>
          <w:numId w:val="2"/>
        </w:numPr>
      </w:pPr>
      <w:r>
        <w:t xml:space="preserve">Category-parameterised methodology so the second category reuses the machine.</w:t>
      </w:r>
    </w:p>
    <w:p>
      <w:pPr>
        <w:pStyle w:val="Heading1"/>
      </w:pPr>
      <w:r>
        <w:t xml:space="preserve">4. Moat and Measurement</w:t>
      </w:r>
    </w:p>
    <w:p>
      <w:pPr>
        <w:spacing w:after="80"/>
      </w:pPr>
      <w:r>
        <w:t xml:space="preserve">Three mechanisms create increasing returns:</w:t>
      </w:r>
    </w:p>
    <w:p>
      <w:pPr>
        <w:pStyle w:val="ListParagraph"/>
        <w:numPr>
          <w:ilvl w:val="0"/>
          <w:numId w:val="2"/>
        </w:numPr>
      </w:pPr>
      <w:r>
        <w:rPr>
          <w:b/>
          <w:bCs/>
        </w:rPr>
        <w:t xml:space="preserve">Refresh-cost advantage: </w:t>
      </w:r>
      <w:r>
        <w:t xml:space="preserve">the public-data spine means verification begins with known legal identity, location, and regulatory status. Track cost per verified plant and cost per re-verification against a pure-manual baseline.</w:t>
      </w:r>
    </w:p>
    <w:p>
      <w:pPr>
        <w:pStyle w:val="ListParagraph"/>
        <w:numPr>
          <w:ilvl w:val="0"/>
          <w:numId w:val="2"/>
        </w:numPr>
      </w:pPr>
      <w:r>
        <w:rPr>
          <w:b/>
          <w:bCs/>
        </w:rPr>
        <w:t xml:space="preserve">Transaction ground truth: </w:t>
      </w:r>
      <w:r>
        <w:t xml:space="preserve">every real order or failed qualification updates signals no scraper can replicate.</w:t>
      </w:r>
    </w:p>
    <w:p>
      <w:pPr>
        <w:pStyle w:val="ListParagraph"/>
        <w:numPr>
          <w:ilvl w:val="0"/>
          <w:numId w:val="2"/>
        </w:numPr>
      </w:pPr>
      <w:r>
        <w:rPr>
          <w:b/>
          <w:bCs/>
        </w:rPr>
        <w:t xml:space="preserve">Buyer track record: </w:t>
      </w:r>
      <w:r>
        <w:t xml:space="preserve">referenceable outcomes that are slow and real.</w:t>
      </w:r>
    </w:p>
    <w:p>
      <w:pPr>
        <w:spacing w:after="80" w:before="80"/>
      </w:pPr>
      <w:r>
        <w:rPr>
          <w:b/>
          <w:bCs/>
        </w:rPr>
        <w:t xml:space="preserve">Spine coverage is category-specific. </w:t>
      </w:r>
      <w:r>
        <w:t xml:space="preserve">MCA covers companies and LLPs only. Stone processing and quarrying is dominated by proprietorships and partnerships that often do not appear there; quarry leases sit with state Directorates of Mines &amp; Geology. For stone the source hierarchy is: PCB consent registers first (stone units generate slurry and dust and therefore appear in consent systems), mining lease registers second, Udyam third if accessible at scale, industry-body membership fourth. Spine coverage is a scored dimension of every category decision.</w:t>
      </w:r>
    </w:p>
    <w:p>
      <w:pPr>
        <w:spacing w:after="120"/>
      </w:pPr>
      <w:r>
        <w:t xml:space="preserve">Source-onboarding playbook v0.1 is written from existing TNPCB ground-truthing experience (URL discovery, export-format quirks, shard keys, volume estimation, robots.txt) and becomes a named asset before category 2 is chosen.</w:t>
      </w:r>
    </w:p>
    <w:p>
      <w:pPr>
        <w:pStyle w:val="Heading1"/>
      </w:pPr>
      <w:r>
        <w:t xml:space="preserve">5. Category Selection Instrument</w:t>
      </w:r>
    </w:p>
    <w:p>
      <w:pPr>
        <w:spacing w:after="80"/>
      </w:pPr>
      <w:r>
        <w:t xml:space="preserve">The scorecard is a reusable instrument, not a one-time justification. Criteria carry equal initial weights. A category qualifies for onboarding when it scores above median on asymmetry + export/premium potential + verification feasibility, and does not fail the ESG or conflict screens.</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200"/>
        <w:gridCol w:w="1320"/>
        <w:gridCol w:w="1320"/>
        <w:gridCol w:w="1200"/>
        <w:gridCol w:w="1400"/>
      </w:tblGrid>
      <w:tr>
        <w:tc>
          <w:tcPr>
            <w:tcW w:type="dxa" w:w="168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Asymmetry</w:t>
            </w:r>
          </w:p>
        </w:tc>
        <w:tc>
          <w:tcPr>
            <w:tcW w:type="dxa" w:w="120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Export / Premium</w:t>
            </w:r>
          </w:p>
        </w:tc>
        <w:tc>
          <w:tcPr>
            <w:tcW w:type="dxa" w:w="132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Verify Feas.</w:t>
            </w:r>
          </w:p>
        </w:tc>
        <w:tc>
          <w:tcPr>
            <w:tcW w:type="dxa" w:w="132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Recurring QC</w:t>
            </w:r>
          </w:p>
        </w:tc>
        <w:tc>
          <w:tcPr>
            <w:tcW w:type="dxa" w:w="120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ESG / Conflict</w:t>
            </w:r>
          </w:p>
        </w:tc>
        <w:tc>
          <w:tcPr>
            <w:tcW w:type="dxa" w:w="140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Spine Coverage</w:t>
            </w:r>
          </w:p>
        </w:tc>
      </w:tr>
      <w:tr>
        <w:tc>
          <w:tcPr>
            <w:tcW w:type="dxa" w:w="168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Natural stone / cladding</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High (lot var.)</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Strong Gulf+</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Plant + lot PSI</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High</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Manageable</w:t>
            </w:r>
          </w:p>
        </w:tc>
        <w:tc>
          <w:tcPr>
            <w:tcW w:type="dxa" w:w="14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Low–Med (PCB first)</w:t>
            </w:r>
          </w:p>
        </w:tc>
      </w:tr>
      <w:tr>
        <w:tc>
          <w:tcPr>
            <w:tcW w:type="dxa" w:w="168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Specialised minerals</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High</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Selective</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Good</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Screen mica</w:t>
            </w:r>
          </w:p>
        </w:tc>
        <w:tc>
          <w:tcPr>
            <w:tcW w:type="dxa" w:w="14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 (varies)</w:t>
            </w:r>
          </w:p>
        </w:tc>
      </w:tr>
      <w:tr>
        <w:tc>
          <w:tcPr>
            <w:tcW w:type="dxa" w:w="168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Fasteners</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Established</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High (testable)</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Lower</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Low</w:t>
            </w:r>
          </w:p>
        </w:tc>
        <w:tc>
          <w:tcPr>
            <w:tcW w:type="dxa" w:w="14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Higher (MCA+)</w:t>
            </w:r>
          </w:p>
        </w:tc>
      </w:tr>
      <w:tr>
        <w:tc>
          <w:tcPr>
            <w:tcW w:type="dxa" w:w="168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Packaging (off-thesis)</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Medium–High</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Strong export</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Low</w:t>
            </w:r>
          </w:p>
        </w:tc>
        <w:tc>
          <w:tcPr>
            <w:tcW w:type="dxa" w:w="14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Med–High</w:t>
            </w:r>
          </w:p>
        </w:tc>
      </w:tr>
      <w:tr>
        <w:tc>
          <w:tcPr>
            <w:tcW w:type="dxa" w:w="168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Industrial castings (off-thesis)</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High</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Selective</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w:t>
            </w:r>
          </w:p>
        </w:tc>
        <w:tc>
          <w:tcPr>
            <w:tcW w:type="dxa" w:w="13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Medium</w:t>
            </w:r>
          </w:p>
        </w:tc>
        <w:tc>
          <w:tcPr>
            <w:tcW w:type="dxa" w:w="1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Manageable</w:t>
            </w:r>
          </w:p>
        </w:tc>
        <w:tc>
          <w:tcPr>
            <w:tcW w:type="dxa" w:w="14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Med</w:t>
            </w:r>
          </w:p>
        </w:tc>
      </w:tr>
    </w:tbl>
    <w:p>
      <w:pPr>
        <w:spacing w:after="80" w:before="100"/>
      </w:pPr>
      <w:r>
        <w:rPr>
          <w:b/>
          <w:bCs/>
        </w:rPr>
        <w:t xml:space="preserve">Sunk-asset test (recorded): </w:t>
      </w:r>
      <w:r>
        <w:t xml:space="preserve">Strike Udaipur relationships and Wave-1 coverage. Stone remains a strong Proof Category 1 because of lot variability (which creates recurring pre-shipment inspection revenue), genuine Gulf export demand, and high information asymmetry relative to entrenched agent channels. The existing Udaipur supply-side network (factories and processors reachable via a well-connected local contact; prior transactions of tiles, granite, engineered quartz and composites totaling approximately ₹2 crore) accelerates execution but is not the reason the category is selected. Packaging and industrial castings are scored as off-thesis controls to keep the instrument honest.</w:t>
      </w:r>
    </w:p>
    <w:p>
      <w:pPr>
        <w:spacing w:after="120"/>
      </w:pPr>
      <w:r>
        <w:rPr>
          <w:b/>
          <w:bCs/>
        </w:rPr>
        <w:t xml:space="preserve">Corridor priority: </w:t>
      </w:r>
      <w:r>
        <w:t xml:space="preserve">Initial weight on clusters that can ride existing spine work (Tamil Nadu granite; Gujarat minerals). Rajasthan stone belts are strategically important and are budgeted as an onboarding work item when a live Gulf or international specification requires them, using PCB, mining-lease registers, and the pending RIICO RTI as inputs.</w:t>
      </w:r>
    </w:p>
    <w:p>
      <w:pPr>
        <w:pStyle w:val="Heading1"/>
      </w:pPr>
      <w:r>
        <w:t xml:space="preserve">6. Service Architecture (Category-Neutral)</w:t>
      </w:r>
    </w:p>
    <w:p>
      <w:pPr>
        <w:spacing w:after="80"/>
      </w:pPr>
      <w:r>
        <w:t xml:space="preserve">Each service is defined so that a buyer of any physical good recognises the problem. Category-specific elements appear as parameters.</w:t>
      </w:r>
    </w:p>
    <w:p>
      <w:pPr>
        <w:pStyle w:val="ListParagraph"/>
        <w:numPr>
          <w:ilvl w:val="0"/>
          <w:numId w:val="3"/>
        </w:numPr>
      </w:pPr>
      <w:r>
        <w:rPr>
          <w:b/>
          <w:bCs/>
        </w:rPr>
        <w:t xml:space="preserve">Verified Shortlist &amp; Qualification: </w:t>
      </w:r>
      <w:r>
        <w:t xml:space="preserve">fixed or success fee for a small number of high-confidence, plant-verified options against a defined specification, with evidence attached.</w:t>
      </w:r>
    </w:p>
    <w:p>
      <w:pPr>
        <w:pStyle w:val="ListParagraph"/>
        <w:numPr>
          <w:ilvl w:val="0"/>
          <w:numId w:val="3"/>
        </w:numPr>
      </w:pPr>
      <w:r>
        <w:rPr>
          <w:b/>
          <w:bCs/>
        </w:rPr>
        <w:t xml:space="preserve">Managed Sourcing with Physical Accountability: </w:t>
      </w:r>
      <w:r>
        <w:t xml:space="preserve">process ownership from RFQ through qualification and initial order support. Parameters: for stone — quarry + processor nodes and per-shipment PSI; for fasteners — standards testing against published specifications; for packaging — print and specification approval.</w:t>
      </w:r>
    </w:p>
    <w:p>
      <w:pPr>
        <w:pStyle w:val="ListParagraph"/>
        <w:numPr>
          <w:ilvl w:val="0"/>
          <w:numId w:val="3"/>
        </w:numPr>
      </w:pPr>
      <w:r>
        <w:rPr>
          <w:b/>
          <w:bCs/>
        </w:rPr>
        <w:t xml:space="preserve">Independent Supply-Base Audit / Savings Validation: </w:t>
      </w:r>
      <w:r>
        <w:t xml:space="preserve">review of an existing or proposed India supply base. Sold only under the conflict rule. Accreditation eligibility must be checked with target buyers before this is offered as a standalone product.</w:t>
      </w:r>
    </w:p>
    <w:p>
      <w:pPr>
        <w:pStyle w:val="ListParagraph"/>
        <w:numPr>
          <w:ilvl w:val="0"/>
          <w:numId w:val="3"/>
        </w:numPr>
      </w:pPr>
      <w:r>
        <w:rPr>
          <w:b/>
          <w:bCs/>
        </w:rPr>
        <w:t xml:space="preserve">Cluster Intelligence: </w:t>
      </w:r>
      <w:r>
        <w:t xml:space="preserve">upsell only to clients with an active engagement; not sold standalone.</w:t>
      </w:r>
    </w:p>
    <w:p>
      <w:pPr>
        <w:pStyle w:val="Heading2"/>
      </w:pPr>
      <w:r>
        <w:t xml:space="preserve">6.1 Conflict Rule</w:t>
      </w:r>
    </w:p>
    <w:p>
      <w:pPr>
        <w:spacing w:after="80"/>
      </w:pPr>
      <w:r>
        <w:t xml:space="preserve">No trading (title or back-to-back) in any category in which an independent audit or savings-validation engagement is active. The rule is disclosed in writing to every audit client. Success fees on managed sourcing are treated as a softer conflict: the default commercial form is a fixed verification / process fee payable whether or not the buyer transacts; where a success fee is used, independence is not claimed on that engagement.</w:t>
      </w:r>
    </w:p>
    <w:p>
      <w:pPr>
        <w:pStyle w:val="Heading2"/>
      </w:pPr>
      <w:r>
        <w:t xml:space="preserve">6.2 Schema rule</w:t>
      </w:r>
    </w:p>
    <w:p>
      <w:pPr>
        <w:spacing w:after="80"/>
      </w:pPr>
      <w:r>
        <w:t xml:space="preserve">Node types are a category parameter. Stone requires quarry and processor as separate verified nodes because the processor alone does not guarantee material match over time. The verification methodology and database schema must support variable node types before the pilot console is built.</w:t>
      </w:r>
    </w:p>
    <w:p>
      <w:pPr>
        <w:pStyle w:val="Heading2"/>
      </w:pPr>
      <w:r>
        <w:t xml:space="preserve">6.3 Unit economics (directional anchors)</w:t>
      </w:r>
    </w:p>
    <w:p>
      <w:pPr>
        <w:spacing w:after="120"/>
      </w:pPr>
      <w:r>
        <w:t xml:space="preserve">Inspection majors publish India man-day rates in the roughly $300–700 (QIMA) to $650–1,200+ (SGS/BV) range. Procuro’s cost advantage from the data spine should appear as margin at competitive prices, not as an unaccredited premium. Exact delivery cost, founder hours, and price hypotheses are validated on the first paid pilots. Cost per verified plant is tracked from plant one against a pure-manual baseline obtained by written quote from a freelance agent or small agency for twenty plants.</w:t>
      </w:r>
    </w:p>
    <w:p>
      <w:pPr>
        <w:pStyle w:val="Heading1"/>
      </w:pPr>
      <w:r>
        <w:t xml:space="preserve">7. Re-Sequenced 90-Day Plan</w:t>
      </w:r>
    </w:p>
    <w:p>
      <w:pPr>
        <w:pStyle w:val="Heading2"/>
      </w:pPr>
      <w:r>
        <w:t xml:space="preserve">Weeks 1–2  |  Identity and instruments</w:t>
      </w:r>
    </w:p>
    <w:p>
      <w:pPr>
        <w:pStyle w:val="ListParagraph"/>
        <w:numPr>
          <w:ilvl w:val="0"/>
          <w:numId w:val="4"/>
        </w:numPr>
      </w:pPr>
      <w:r>
        <w:t xml:space="preserve">Positioning one-pager: company type, operational vision, buyer personas, definition of “verified”, conflict rule (including success-fee treatment), liability posture.</w:t>
      </w:r>
    </w:p>
    <w:p>
      <w:pPr>
        <w:pStyle w:val="ListParagraph"/>
        <w:numPr>
          <w:ilvl w:val="0"/>
          <w:numId w:val="4"/>
        </w:numPr>
      </w:pPr>
      <w:r>
        <w:t xml:space="preserve">Category selection instrument with spine-coverage column; sunk-asset test already recorded above.</w:t>
      </w:r>
    </w:p>
    <w:p>
      <w:pPr>
        <w:pStyle w:val="ListParagraph"/>
        <w:numPr>
          <w:ilvl w:val="0"/>
          <w:numId w:val="4"/>
        </w:numPr>
      </w:pPr>
      <w:r>
        <w:t xml:space="preserve">Source-onboarding playbook v0.1 written from TNPCB experience.</w:t>
      </w:r>
    </w:p>
    <w:p>
      <w:pPr>
        <w:pStyle w:val="ListParagraph"/>
        <w:numPr>
          <w:ilvl w:val="0"/>
          <w:numId w:val="4"/>
        </w:numPr>
      </w:pPr>
      <w:r>
        <w:t xml:space="preserve">Commission pure-manual baseline quote (twenty plants, written).</w:t>
      </w:r>
    </w:p>
    <w:p>
      <w:pPr>
        <w:pStyle w:val="Heading2"/>
      </w:pPr>
      <w:r>
        <w:t xml:space="preserve">Weeks 2–6  |  Buyer evidence</w:t>
      </w:r>
    </w:p>
    <w:p>
      <w:pPr>
        <w:spacing w:after="60"/>
      </w:pPr>
      <w:r>
        <w:t xml:space="preserve">Twenty structured interviews against named channels, with weekly targets. At least five with buyers who have no stone interest. Every interview asks the horizontal question: what else do you source or struggle to source from India?</w:t>
      </w:r>
    </w:p>
    <w:p>
      <w:pPr>
        <w:pStyle w:val="ListParagraph"/>
        <w:numPr>
          <w:ilvl w:val="0"/>
          <w:numId w:val="5"/>
        </w:numPr>
      </w:pPr>
      <w:r>
        <w:rPr>
          <w:b/>
          <w:bCs/>
        </w:rPr>
        <w:t xml:space="preserve">Dubai / Gulf network (family connections): </w:t>
      </w:r>
      <w:r>
        <w:t xml:space="preserve">target industries — real-estate developers and fit-out contractors, hospitality groups, main contractors on residential and commercial projects, and procurement or project managers at firms already importing Indian stone, tiles, or cladding. Ask specifically for people who own India-origin material decisions.</w:t>
      </w:r>
    </w:p>
    <w:p>
      <w:pPr>
        <w:pStyle w:val="ListParagraph"/>
        <w:numPr>
          <w:ilvl w:val="0"/>
          <w:numId w:val="5"/>
        </w:numPr>
      </w:pPr>
      <w:r>
        <w:t xml:space="preserve">CDOS and stone industry bodies; CAPEXIL; Indian trade missions and consulates in the Gulf.</w:t>
      </w:r>
    </w:p>
    <w:p>
      <w:pPr>
        <w:pStyle w:val="ListParagraph"/>
        <w:numPr>
          <w:ilvl w:val="0"/>
          <w:numId w:val="5"/>
        </w:numPr>
      </w:pPr>
      <w:r>
        <w:t xml:space="preserve">Gulf construction trade fairs (dates to be verified); direct outbound to named procurement titles at mid-market international firms.</w:t>
      </w:r>
    </w:p>
    <w:p>
      <w:pPr>
        <w:pStyle w:val="ListParagraph"/>
        <w:numPr>
          <w:ilvl w:val="0"/>
          <w:numId w:val="5"/>
        </w:numPr>
      </w:pPr>
      <w:r>
        <w:t xml:space="preserve">Existing Procuro commercial relationships.</w:t>
      </w:r>
    </w:p>
    <w:p>
      <w:pPr>
        <w:spacing w:after="80" w:before="60"/>
      </w:pPr>
      <w:r>
        <w:t xml:space="preserve">Liability kit complete before any paid work: versioned verification methodology; engagement letter with explicit liability cap; professional indemnity insurance quote. Accreditation eligibility checked with at least three buyers.</w:t>
      </w:r>
    </w:p>
    <w:p>
      <w:pPr>
        <w:pStyle w:val="Heading2"/>
      </w:pPr>
      <w:r>
        <w:t xml:space="preserve">Weeks 4–10  |  One pre-sold pilot</w:t>
      </w:r>
    </w:p>
    <w:p>
      <w:pPr>
        <w:pStyle w:val="ListParagraph"/>
        <w:numPr>
          <w:ilvl w:val="0"/>
          <w:numId w:val="4"/>
        </w:numPr>
      </w:pPr>
      <w:r>
        <w:t xml:space="preserve">Seed list of 20–50 plants against a live buyer specification. Manufacturers are told there is a real buyer behind the question.</w:t>
      </w:r>
    </w:p>
    <w:p>
      <w:pPr>
        <w:pStyle w:val="ListParagraph"/>
        <w:numPr>
          <w:ilvl w:val="0"/>
          <w:numId w:val="4"/>
        </w:numPr>
      </w:pPr>
      <w:r>
        <w:t xml:space="preserve">Operator console with schema supporting variable node types.</w:t>
      </w:r>
    </w:p>
    <w:p>
      <w:pPr>
        <w:pStyle w:val="ListParagraph"/>
        <w:numPr>
          <w:ilvl w:val="0"/>
          <w:numId w:val="4"/>
        </w:numPr>
      </w:pPr>
      <w:r>
        <w:t xml:space="preserve">Track cost per verified plant and founder hours from plant one.</w:t>
      </w:r>
    </w:p>
    <w:p>
      <w:pPr>
        <w:pStyle w:val="Heading2"/>
      </w:pPr>
      <w:r>
        <w:t xml:space="preserve">Weeks 10–13  |  Decide</w:t>
      </w:r>
    </w:p>
    <w:p>
      <w:pPr>
        <w:spacing w:after="60"/>
      </w:pPr>
      <w:r>
        <w:rPr>
          <w:b/>
          <w:bCs/>
        </w:rPr>
        <w:t xml:space="preserve">Success: </w:t>
      </w:r>
      <w:r>
        <w:t xml:space="preserve">at least two paid engagements signed, or one paid engagement plus clear written intent from a second buyer with a defined next specification.</w:t>
      </w:r>
    </w:p>
    <w:p>
      <w:pPr>
        <w:spacing w:after="60"/>
      </w:pPr>
      <w:r>
        <w:rPr>
          <w:b/>
          <w:bCs/>
        </w:rPr>
        <w:t xml:space="preserve">Kill / revisit: </w:t>
      </w:r>
      <w:r>
        <w:t xml:space="preserve">zero paid engagements and no named buyers with a defined specification and a date after the twenty interviews are complete → revisit category, segment, or offer before any further verification scale-up.</w:t>
      </w:r>
    </w:p>
    <w:p>
      <w:pPr>
        <w:spacing w:after="120"/>
      </w:pPr>
      <w:r>
        <w:t xml:space="preserve">Score category 2 with the instrument and estimate its onboarding cost (first reading of the second-category test). Land-and-expand milestone: one existing buyer requests a second category (target within six months).</w:t>
      </w:r>
    </w:p>
    <w:p>
      <w:pPr>
        <w:pStyle w:val="Heading1"/>
      </w:pPr>
      <w:r>
        <w:t xml:space="preserve">8. Liability Kit (Hard Gate)</w:t>
      </w:r>
    </w:p>
    <w:p>
      <w:pPr>
        <w:spacing w:after="80"/>
      </w:pPr>
      <w:r>
        <w:t xml:space="preserve">Before the first paid engagement: versioned verification methodology (evidence required per confidence tier — also IP); engagement letters with explicit liability caps; professional indemnity insurance quote covering claims that professional advice caused client loss. If cross-border trading is later activated, add letter-of-credit discipline and ECGC (or equivalent) export credit insurance.</w:t>
      </w:r>
    </w:p>
    <w:p>
      <w:pPr>
        <w:pStyle w:val="Heading1"/>
      </w:pPr>
      <w:r>
        <w:t xml:space="preserve">9. Metrics That Govern the Decision</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2520"/>
      </w:tblGrid>
      <w:tr>
        <w:tc>
          <w:tcPr>
            <w:tcW w:type="dxa" w:w="360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Metric</w:t>
            </w:r>
          </w:p>
        </w:tc>
        <w:tc>
          <w:tcPr>
            <w:tcW w:type="dxa" w:w="420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Why it matters</w:t>
            </w:r>
          </w:p>
        </w:tc>
        <w:tc>
          <w:tcPr>
            <w:tcW w:type="dxa" w:w="2520"/>
            <w:tcBorders>
              <w:top w:val="single" w:color="CCCCCC" w:sz="1"/>
              <w:left w:val="single" w:color="CCCCCC" w:sz="1"/>
              <w:bottom w:val="single" w:color="CCCCCC" w:sz="1"/>
              <w:right w:val="single" w:color="CCCCCC" w:sz="1"/>
            </w:tcBorders>
            <w:shd w:fill="1F4E79" w:val="clear"/>
            <w:tcMar>
              <w:top w:type="dxa" w:w="40"/>
              <w:left w:type="dxa" w:w="50"/>
              <w:bottom w:type="dxa" w:w="40"/>
              <w:right w:type="dxa" w:w="50"/>
            </w:tcMar>
          </w:tcPr>
          <w:p>
            <w:r>
              <w:rPr>
                <w:b/>
                <w:bCs/>
                <w:color w:val="FFFFFF"/>
                <w:sz w:val="14"/>
                <w:szCs w:val="14"/>
              </w:rPr>
              <w:t xml:space="preserve">First reading</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Cost per verified plant vs manual baseline</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Tests whether the spine is a moat or a millstone</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Week 10</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Cost per re-verification</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Verification data decays; refresh treadmill</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Month 6</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Second-category onboarding cost as % of first</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Platform vs sequence of verticals (target &lt;40%)</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Week 13 (estimate)</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Spine leverage %</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Gate for promoting database to engine (&gt;60%)</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End of pilot</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Founder hours per engagement</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Deliverability by a small team</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Week 10</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Buyers requesting a second category</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Real evidence of horizontal demand</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Month 6</w:t>
            </w:r>
          </w:p>
        </w:tc>
      </w:tr>
      <w:tr>
        <w:tc>
          <w:tcPr>
            <w:tcW w:type="dxa" w:w="36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Paid engagements signed</w:t>
            </w:r>
          </w:p>
        </w:tc>
        <w:tc>
          <w:tcPr>
            <w:tcW w:type="dxa" w:w="420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Willingness to pay</w:t>
            </w:r>
          </w:p>
        </w:tc>
        <w:tc>
          <w:tcPr>
            <w:tcW w:type="dxa" w:w="2520"/>
            <w:tcBorders>
              <w:top w:val="single" w:color="CCCCCC" w:sz="1"/>
              <w:left w:val="single" w:color="CCCCCC" w:sz="1"/>
              <w:bottom w:val="single" w:color="CCCCCC" w:sz="1"/>
              <w:right w:val="single" w:color="CCCCCC" w:sz="1"/>
            </w:tcBorders>
            <w:tcMar>
              <w:top w:type="dxa" w:w="40"/>
              <w:left w:type="dxa" w:w="50"/>
              <w:bottom w:type="dxa" w:w="40"/>
              <w:right w:type="dxa" w:w="50"/>
            </w:tcMar>
          </w:tcPr>
          <w:p>
            <w:r>
              <w:rPr>
                <w:color w:val="000000"/>
                <w:sz w:val="13"/>
                <w:szCs w:val="13"/>
              </w:rPr>
              <w:t xml:space="preserve">Week 13</w:t>
            </w:r>
          </w:p>
        </w:tc>
      </w:tr>
    </w:tbl>
    <w:p>
      <w:pPr>
        <w:pStyle w:val="Heading1"/>
      </w:pPr>
      <w:r>
        <w:t xml:space="preserve">10. Stress-Test Points</w:t>
      </w:r>
    </w:p>
    <w:p>
      <w:pPr>
        <w:pStyle w:val="ListParagraph"/>
        <w:numPr>
          <w:ilvl w:val="0"/>
          <w:numId w:val="6"/>
        </w:numPr>
      </w:pPr>
      <w:r>
        <w:t xml:space="preserve">Will international and Gulf buyers pay for shortlist + managed process, or continue with existing agents and point audits?</w:t>
      </w:r>
    </w:p>
    <w:p>
      <w:pPr>
        <w:pStyle w:val="ListParagraph"/>
        <w:numPr>
          <w:ilvl w:val="0"/>
          <w:numId w:val="6"/>
        </w:numPr>
      </w:pPr>
      <w:r>
        <w:t xml:space="preserve">Do cost-per-verified-plant and cost-per-re-verification stay below the pure-manual baseline?</w:t>
      </w:r>
    </w:p>
    <w:p>
      <w:pPr>
        <w:pStyle w:val="ListParagraph"/>
        <w:numPr>
          <w:ilvl w:val="0"/>
          <w:numId w:val="6"/>
        </w:numPr>
      </w:pPr>
      <w:r>
        <w:t xml:space="preserve">Second-category onboarding cost: does it fall below 40% of the first, or is this a sequence of verticals?</w:t>
      </w:r>
    </w:p>
    <w:p>
      <w:pPr>
        <w:pStyle w:val="ListParagraph"/>
        <w:numPr>
          <w:ilvl w:val="0"/>
          <w:numId w:val="6"/>
        </w:numPr>
      </w:pPr>
      <w:r>
        <w:t xml:space="preserve">Can the conflict rule (including success-fee treatment) be enforced without destroying commercial optionality?</w:t>
      </w:r>
    </w:p>
    <w:p>
      <w:pPr>
        <w:pStyle w:val="ListParagraph"/>
        <w:numPr>
          <w:ilvl w:val="0"/>
          <w:numId w:val="6"/>
        </w:numPr>
      </w:pPr>
      <w:r>
        <w:t xml:space="preserve">Does stone’s entrenched agent and exhibition channel leave enough residual asymmetry for a new entrant with a data spine?</w:t>
      </w:r>
    </w:p>
    <w:p>
      <w:pPr>
        <w:pStyle w:val="ListParagraph"/>
        <w:numPr>
          <w:ilvl w:val="0"/>
          <w:numId w:val="6"/>
        </w:numPr>
      </w:pPr>
      <w:r>
        <w:t xml:space="preserve">Founder time: majority on buyer conversations and learning, or on data production?</w:t>
      </w:r>
    </w:p>
    <w:p>
      <w:pPr>
        <w:pStyle w:val="Heading1"/>
      </w:pPr>
      <w:r>
        <w:t xml:space="preserve">11. Decision Summary</w:t>
      </w:r>
    </w:p>
    <w:p>
      <w:pPr>
        <w:spacing w:after="80"/>
      </w:pPr>
      <w:r>
        <w:t xml:space="preserve">Procuro builds a horizontal verification and managed-sourcing capability for international buyers, executed in a vertical sequence. Stone and specialised minerals are Proof Category 1. The data spine is a utility with engine optionality, expanded only against live demand, designed to engine-grade standards, and promotable only when spine leverage and second-category cost metrics are met.</w:t>
      </w:r>
    </w:p>
    <w:p>
      <w:pPr>
        <w:spacing w:after="80"/>
      </w:pPr>
      <w:r>
        <w:t xml:space="preserve">Near-term build: positioning one-pager; source-onboarding playbook v0.1; category selection instrument; pure-manual baseline; twenty structured interviews (including non-stone buyers) via named channels with Dubai network activation; liability kit; one pre-sold pilot on a 20–50 plant seed list against a live specification; cost and hour tracking from plant one.</w:t>
      </w:r>
    </w:p>
    <w:p>
      <w:pPr>
        <w:spacing w:after="80"/>
      </w:pPr>
      <w:r>
        <w:t xml:space="preserve">Do not build: national public marketplace, domestic bulk volume competition, standalone intelligence retainers, trading in any category under active independent audit, or speculative category expansion before the second-category cost test is read.</w:t>
      </w:r>
    </w:p>
    <w:p>
      <w:pPr>
        <w:spacing w:after="120"/>
      </w:pPr>
      <w:r>
        <w:t xml:space="preserve">The overseas path runs through depth, independence, and physical accountability aimed at international mid-market firms, Gulf buyers, and MNC captive centres. Breadth is earned when an existing buyer asks for a second category.</w:t>
      </w:r>
    </w:p>
    <w:p>
      <w:pPr>
        <w:spacing w:before="200"/>
        <w:jc w:val="center"/>
      </w:pPr>
      <w:r>
        <w:rPr>
          <w:i/>
          <w:iCs/>
          <w:color w:val="666666"/>
          <w:sz w:val="17"/>
          <w:szCs w:val="17"/>
        </w:rPr>
        <w:t xml:space="preserve">— End of Version 3 —</w:t>
      </w:r>
    </w:p>
    <w:p>
      <w:pPr>
        <w:spacing w:before="40"/>
        <w:jc w:val="center"/>
      </w:pPr>
      <w:r>
        <w:rPr>
          <w:i/>
          <w:iCs/>
          <w:color w:val="666666"/>
          <w:sz w:val="14"/>
          <w:szCs w:val="14"/>
        </w:rPr>
        <w:t xml:space="preserve">Assumptions are validated by real buyer conversations and the first paid engagements. The second-category cost test is the earliest honest evidence of which company Procuro is.</w:t>
      </w:r>
    </w:p>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Confidential  |  Page </w:t>
    </w:r>
    <w:r>
      <w:rPr>
        <w:color w:val="666666"/>
        <w:sz w:val="14"/>
        <w:szCs w:val="14"/>
      </w:rPr>
      <w:fldChar w:fldCharType="begin"/>
      <w:instrText xml:space="preserve">PAGE</w:instrText>
      <w:fldChar w:fldCharType="separate"/>
      <w:fldChar w:fldCharType="end"/>
    </w:r>
    <w:r>
      <w:rPr>
        <w:color w:val="666666"/>
        <w:sz w:val="14"/>
        <w:szCs w:val="14"/>
      </w:rPr>
      <w:t xml:space="preserve">  |  August 2026  |  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color w:val="666666"/>
        <w:sz w:val="16"/>
        <w:szCs w:val="16"/>
      </w:rPr>
      <w:t xml:space="preserve">Procuro India  |  Strategic Direction Report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3"/>
      <w:szCs w:val="23"/>
    </w:rPr>
  </w:style>
  <w:style w:type="paragraph" w:styleId="Heading3">
    <w:name w:val="Heading 3"/>
    <w:basedOn w:val="Normal"/>
    <w:next w:val="Normal"/>
    <w:qFormat/>
    <w:pPr>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2026-08-17T20:25:35.059Z</dcterms:created>
  <dcterms:modified xsi:type="dcterms:W3CDTF">2026-08-17T20:25:35.060Z</dcterms:modified>
</cp:coreProperties>
</file>

<file path=docProps/custom.xml><?xml version="1.0" encoding="utf-8"?>
<Properties xmlns="http://schemas.openxmlformats.org/officeDocument/2006/custom-properties" xmlns:vt="http://schemas.openxmlformats.org/officeDocument/2006/docPropsVTypes"/>
</file>