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60954" w:rsidR="00560954" w:rsidP="4995A719" w:rsidRDefault="00560954" w14:paraId="00F72331" w14:textId="0EE434E8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</w:t>
      </w: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 xml:space="preserve"> Cloud Computing Assignment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747"/>
      </w:tblGrid>
      <w:tr w:rsidRPr="00560954" w:rsidR="00560954" w:rsidTr="4995A719" w14:paraId="30D63DF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240DC1AE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Student Name </w:t>
            </w:r>
          </w:p>
        </w:tc>
        <w:tc>
          <w:tcPr>
            <w:tcW w:w="67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3ECBF080" w14:textId="783F7A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 O.Nithish Kumar Reddy</w:t>
            </w:r>
          </w:p>
        </w:tc>
      </w:tr>
      <w:tr w:rsidRPr="00560954" w:rsidR="00560954" w:rsidTr="4995A719" w14:paraId="1A3A298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2615398D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Student Register No </w:t>
            </w:r>
          </w:p>
        </w:tc>
        <w:tc>
          <w:tcPr>
            <w:tcW w:w="67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174DAEDE" w14:textId="5F4F25C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 1760347</w:t>
            </w:r>
          </w:p>
        </w:tc>
      </w:tr>
      <w:tr w:rsidRPr="00560954" w:rsidR="00560954" w:rsidTr="4995A719" w14:paraId="088A05D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4458FB30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Section </w:t>
            </w:r>
          </w:p>
        </w:tc>
        <w:tc>
          <w:tcPr>
            <w:tcW w:w="67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24A928AC" w14:textId="1E33332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7 BTCS-B </w:t>
            </w:r>
          </w:p>
        </w:tc>
      </w:tr>
      <w:tr w:rsidRPr="00560954" w:rsidR="00560954" w:rsidTr="4995A719" w14:paraId="23A9BFF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320F8551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Email Id</w:t>
            </w:r>
          </w:p>
        </w:tc>
        <w:tc>
          <w:tcPr>
            <w:tcW w:w="67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187A3757" w14:textId="20D237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obulam.reddy@btech.christuniversity.in</w:t>
            </w:r>
          </w:p>
        </w:tc>
      </w:tr>
      <w:tr w:rsidRPr="00560954" w:rsidR="00560954" w:rsidTr="4995A719" w14:paraId="2FEA214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4235A1B9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 of Submission </w:t>
            </w:r>
          </w:p>
        </w:tc>
        <w:tc>
          <w:tcPr>
            <w:tcW w:w="67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60954" w:rsidR="00560954" w:rsidP="4995A719" w:rsidRDefault="00560954" w14:paraId="1E8A04E2" w14:textId="13093A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 04-06-2020</w:t>
            </w:r>
          </w:p>
        </w:tc>
      </w:tr>
    </w:tbl>
    <w:p w:rsidRPr="00560954" w:rsidR="00560954" w:rsidP="4995A719" w:rsidRDefault="00560954" w14:paraId="615B4606" w14:textId="671288E9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B26897" w:rsidR="00560954" w:rsidP="4995A719" w:rsidRDefault="00560954" w14:paraId="4D1B4B81" w14:textId="15E9C469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>Question</w:t>
      </w: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 xml:space="preserve"> Statement</w:t>
      </w:r>
      <w:r w:rsidRPr="4995A719" w:rsidR="4995A71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B26897" w:rsidR="00560954" w:rsidP="4995A719" w:rsidRDefault="00560954" w14:paraId="7308906E" w14:textId="77777777" w14:noSpellErr="1">
      <w:pPr>
        <w:pStyle w:val="NormalWeb"/>
        <w:numPr>
          <w:ilvl w:val="0"/>
          <w:numId w:val="1"/>
        </w:numPr>
        <w:spacing w:before="0" w:beforeAutospacing="off" w:after="200" w:afterAutospacing="o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995A719" w:rsidR="4995A71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Make a report by comparing any two products providing the same service from different cloud vendors. Minimum two products to be taken for comparison and minimum of 5 metrics to be selected by the students for comparing the same. </w:t>
      </w:r>
    </w:p>
    <w:p w:rsidRPr="00B26897" w:rsidR="00560954" w:rsidP="4995A719" w:rsidRDefault="00B05E9D" w14:paraId="2DB16C5D" w14:textId="031AB4A8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2E461F93" w:rsidR="2E461F9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2E461F93" w:rsidR="2E461F93">
        <w:rPr>
          <w:rFonts w:ascii="Times New Roman" w:hAnsi="Times New Roman" w:eastAsia="Times New Roman" w:cs="Times New Roman"/>
          <w:sz w:val="24"/>
          <w:szCs w:val="24"/>
        </w:rPr>
        <w:t>Ans.</w:t>
      </w:r>
    </w:p>
    <w:p w:rsidRPr="00B26897" w:rsidR="00B26897" w:rsidP="2E461F93" w:rsidRDefault="00B26897" w14:paraId="5E648188" w14:textId="0F3A7487">
      <w:pPr>
        <w:pStyle w:val="Normal"/>
        <w:spacing w:before="468"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2E461F93" w:rsidR="2E461F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Google Container Engine (GKE)</w:t>
      </w:r>
    </w:p>
    <w:p w:rsidRPr="00B26897" w:rsidR="00B26897" w:rsidP="2E461F93" w:rsidRDefault="00B26897" w14:paraId="270D264B" w14:textId="2BC9D187">
      <w:pPr>
        <w:pStyle w:val="Normal"/>
        <w:spacing w:before="468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Google Container Engine (GKE) is a </w:t>
      </w:r>
      <w:hyperlink r:id="R7b3f39caecb74dec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cluster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management and </w:t>
      </w:r>
      <w:hyperlink r:id="R4ebc28b64d0745c2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container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orchestration system developed to run and manage </w:t>
      </w:r>
      <w:hyperlink r:id="Rce2248ccb6f44022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Docker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containers.</w:t>
      </w:r>
    </w:p>
    <w:p w:rsidRPr="00B26897" w:rsidR="00B26897" w:rsidP="2E461F93" w:rsidRDefault="00B26897" w14:paraId="627B9DD6" w14:textId="77B93606">
      <w:pPr>
        <w:spacing w:before="468" w:after="0"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Google Container Engine is powered by the open-source </w:t>
      </w:r>
      <w:hyperlink r:id="R6fca68b9868b4948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Kubernetes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system that Google originally created to help the company in its own operational management of containers, and it can be deployed for use on </w:t>
      </w:r>
      <w:hyperlink r:id="R5a0c627b33e5466b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on-premises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, </w:t>
      </w:r>
      <w:hyperlink r:id="Rde9aba1823ce477a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hybrid cloud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or </w:t>
      </w:r>
      <w:hyperlink r:id="R6919c99bff6f4768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public cloud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infrastructure.</w:t>
      </w:r>
    </w:p>
    <w:p w:rsidRPr="00B26897" w:rsidR="00B26897" w:rsidP="2E461F93" w:rsidRDefault="00B26897" w14:paraId="61080474" w14:textId="495174AD">
      <w:pPr>
        <w:spacing w:before="468" w:after="0"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666666"/>
          <w:sz w:val="24"/>
          <w:szCs w:val="24"/>
          <w:lang w:val="en-IN"/>
        </w:rPr>
      </w:pPr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GKE schedules containers into a cluster and then manages them automatically based on defined stipulations and requirements. Interaction with GKE can be conducted via the </w:t>
      </w:r>
      <w:proofErr w:type="spellStart"/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gcloud</w:t>
      </w:r>
      <w:proofErr w:type="spellEnd"/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</w:t>
      </w:r>
      <w:hyperlink r:id="R85bd86f3ff814bb3">
        <w:r w:rsidRPr="2E461F93" w:rsidR="2E461F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en-IN"/>
          </w:rPr>
          <w:t>command-line interface</w:t>
        </w:r>
      </w:hyperlink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(CLI) or the Google Cloud Platform Console</w:t>
      </w:r>
      <w:r w:rsidRPr="2E461F93" w:rsidR="2E461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666666"/>
          <w:sz w:val="24"/>
          <w:szCs w:val="24"/>
          <w:lang w:val="en-IN"/>
        </w:rPr>
        <w:t>.</w:t>
      </w:r>
    </w:p>
    <w:p w:rsidRPr="00B26897" w:rsidR="00B26897" w:rsidP="2E461F93" w:rsidRDefault="00B26897" w14:paraId="4944E5B9" w14:textId="77777777">
      <w:pPr>
        <w:pStyle w:val="Normal"/>
        <w:spacing w:before="468"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pacing w:val="-5"/>
          <w:kern w:val="36"/>
          <w:sz w:val="28"/>
          <w:szCs w:val="28"/>
          <w:u w:val="single"/>
          <w:lang w:eastAsia="en-IN"/>
        </w:rPr>
      </w:pPr>
      <w:r w:rsidRPr="2E461F9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pacing w:val="-5"/>
          <w:kern w:val="36"/>
          <w:sz w:val="28"/>
          <w:szCs w:val="28"/>
          <w:u w:val="single"/>
          <w:lang w:eastAsia="en-IN"/>
        </w:rPr>
        <w:t>Amazon EC2 Container Service (Amazon ECS):</w:t>
      </w:r>
    </w:p>
    <w:p w:rsidR="00B26897" w:rsidP="4995A719" w:rsidRDefault="00B26897" w14:paraId="21F18791" w14:textId="4419B62B">
      <w:pPr>
        <w:shd w:val="clear" w:color="auto" w:fill="FFFFFF" w:themeFill="background1"/>
        <w:spacing w:before="206" w:after="0" w:line="480" w:lineRule="atLeast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It integrates with tools from AWS ecosystem such as AWS Code</w:t>
      </w:r>
      <w:r w:rsidR="006D3D76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 xml:space="preserve"> </w:t>
      </w:r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Pipeline, AWS Code</w:t>
      </w:r>
      <w:r w:rsidR="006D3D76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 xml:space="preserve"> </w:t>
      </w:r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 xml:space="preserve">Build, AWS CloudFormation, AWS Elastic Load Balancer, Amazon EC2 Container Registry, AWS CLI. And for monitoring CloudWatch, Datadog, </w:t>
      </w:r>
      <w:proofErr w:type="spellStart"/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statsd</w:t>
      </w:r>
      <w:proofErr w:type="spellEnd"/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, ELK, Prometheus, Graphite, and so on.</w:t>
      </w:r>
      <w:r w:rsidR="006D3D76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 xml:space="preserve"> </w:t>
      </w:r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ECS is using load balancers for service</w:t>
      </w:r>
      <w:r w:rsidRPr="00B26897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  <w:lang w:eastAsia="en-IN"/>
        </w:rPr>
        <w:t xml:space="preserve"> </w:t>
      </w:r>
      <w:r w:rsidRPr="00B26897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>discovery. External as well as internal services are accessible through load balancers. The Application Load Balancer (ALB) offers path- and host-based routing as well as internal or external connections.</w:t>
      </w:r>
      <w:r w:rsidR="006D3D76">
        <w:rPr>
          <w:rFonts w:ascii="Times New Roman" w:hAnsi="Times New Roman" w:eastAsia="Times New Roman" w:cs="Times New Roman"/>
          <w:spacing w:val="-1"/>
          <w:sz w:val="24"/>
          <w:szCs w:val="24"/>
          <w:lang w:eastAsia="en-IN"/>
        </w:rPr>
        <w:t xml:space="preserve"> </w:t>
      </w:r>
      <w:r w:rsidRPr="4995A719">
        <w:rPr>
          <w:rFonts w:ascii="Times New Roman" w:hAnsi="Times New Roman" w:eastAsia="Times New Roman" w:cs="Times New Roman"/>
          <w:spacing w:val="-1"/>
          <w:sz w:val="24"/>
          <w:szCs w:val="24"/>
        </w:rPr>
        <w:t>ECS is using load balancers for </w:t>
      </w:r>
      <w:r w:rsidRPr="4995A719">
        <w:rPr>
          <w:rStyle w:val="Strong"/>
          <w:rFonts w:ascii="Times New Roman" w:hAnsi="Times New Roman" w:eastAsia="Times New Roman" w:cs="Times New Roman"/>
          <w:b w:val="0"/>
          <w:bCs w:val="0"/>
          <w:spacing w:val="-1"/>
          <w:sz w:val="24"/>
          <w:szCs w:val="24"/>
        </w:rPr>
        <w:t>service</w:t>
      </w:r>
      <w:r w:rsidRPr="4995A719">
        <w:rPr>
          <w:rStyle w:val="Strong"/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4995A719">
        <w:rPr>
          <w:rStyle w:val="Strong"/>
          <w:rFonts w:ascii="Times New Roman" w:hAnsi="Times New Roman" w:eastAsia="Times New Roman" w:cs="Times New Roman"/>
          <w:b w:val="0"/>
          <w:bCs w:val="0"/>
          <w:spacing w:val="-1"/>
          <w:sz w:val="24"/>
          <w:szCs w:val="24"/>
        </w:rPr>
        <w:t>discovery</w:t>
      </w:r>
      <w:r w:rsidRPr="4995A719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External as well as internal services are accessible through load </w:t>
      </w:r>
      <w:r w:rsidRPr="4995A719">
        <w:rPr>
          <w:rFonts w:ascii="Times New Roman" w:hAnsi="Times New Roman" w:eastAsia="Times New Roman" w:cs="Times New Roman"/>
          <w:spacing w:val="-1"/>
          <w:sz w:val="24"/>
          <w:szCs w:val="24"/>
        </w:rPr>
        <w:lastRenderedPageBreak/>
        <w:t>balancers. The Application Load Balancer (ALB) offers path- and host-based routing as well as internal or external connections.</w:t>
      </w:r>
    </w:p>
    <w:p w:rsidR="2E461F93" w:rsidP="2E461F93" w:rsidRDefault="2E461F93" w14:paraId="149950CD" w14:textId="58937CEB">
      <w:pPr>
        <w:pStyle w:val="Normal"/>
        <w:shd w:val="clear" w:color="auto" w:fill="FFFFFF" w:themeFill="background1"/>
        <w:spacing w:before="206" w:after="0" w:line="480" w:lineRule="atLeast"/>
        <w:rPr>
          <w:rFonts w:ascii="Times New Roman" w:hAnsi="Times New Roman" w:eastAsia="Times New Roman" w:cs="Times New Roman"/>
          <w:sz w:val="24"/>
          <w:szCs w:val="24"/>
        </w:rPr>
      </w:pPr>
    </w:p>
    <w:p w:rsidR="2E461F93" w:rsidP="2E461F93" w:rsidRDefault="2E461F93" w14:paraId="3CB8C03A" w14:textId="64D60FE9">
      <w:pPr>
        <w:pStyle w:val="Normal"/>
        <w:shd w:val="clear" w:color="auto" w:fill="FFFFFF" w:themeFill="background1"/>
        <w:spacing w:before="206" w:after="0" w:line="480" w:lineRule="atLeast"/>
        <w:rPr>
          <w:rFonts w:ascii="Times New Roman" w:hAnsi="Times New Roman" w:eastAsia="Times New Roman" w:cs="Times New Roman"/>
          <w:sz w:val="24"/>
          <w:szCs w:val="24"/>
        </w:rPr>
      </w:pPr>
    </w:p>
    <w:p w:rsidRPr="00B26897" w:rsidR="00770321" w:rsidP="2E461F93" w:rsidRDefault="00770321" w14:paraId="2B538904" w14:textId="519A07C5" w14:noSpellErr="1">
      <w:pPr>
        <w:shd w:val="clear" w:color="auto" w:fill="FFFFFF" w:themeFill="background1"/>
        <w:spacing w:before="206" w:after="0" w:line="480" w:lineRule="atLeast"/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  <w:lang w:eastAsia="en-IN"/>
        </w:rPr>
      </w:pPr>
      <w:r w:rsidRPr="2E461F93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</w:rPr>
        <w:t>Compar</w:t>
      </w:r>
      <w:r w:rsidRPr="2E461F93" w:rsidR="006D3D76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</w:rPr>
        <w:t>i</w:t>
      </w:r>
      <w:r w:rsidRPr="2E461F93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</w:rPr>
        <w:t>sons as follow:</w:t>
      </w:r>
    </w:p>
    <w:p w:rsidRPr="00560954" w:rsidR="00B26897" w:rsidP="4995A719" w:rsidRDefault="00B26897" w14:paraId="2A162C15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830"/>
        <w:gridCol w:w="3435"/>
        <w:gridCol w:w="3855"/>
      </w:tblGrid>
      <w:tr w:rsidR="00490EE5" w:rsidTr="4995A719" w14:paraId="48764F5A" w14:textId="77777777">
        <w:trPr>
          <w:trHeight w:val="1711"/>
        </w:trPr>
        <w:tc>
          <w:tcPr>
            <w:tcW w:w="1830" w:type="dxa"/>
            <w:tcMar/>
          </w:tcPr>
          <w:p w:rsidRPr="00215DBB" w:rsidR="00490EE5" w:rsidP="4995A719" w:rsidRDefault="00490EE5" w14:paraId="1731F51B" w14:textId="261EE6B3" w14:noSpellErr="1">
            <w:pPr>
              <w:ind w:left="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3435" w:type="dxa"/>
            <w:tcMar/>
          </w:tcPr>
          <w:p w:rsidRPr="00215DBB" w:rsidR="00490EE5" w:rsidP="4995A719" w:rsidRDefault="00490EE5" w14:paraId="7294D377" w14:textId="5B8B8C63">
            <w:pPr>
              <w:spacing w:after="260" w:line="216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Google Container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Engine (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GKE)</w:t>
            </w:r>
          </w:p>
        </w:tc>
        <w:tc>
          <w:tcPr>
            <w:tcW w:w="3855" w:type="dxa"/>
            <w:tcMar/>
          </w:tcPr>
          <w:p w:rsidRPr="00215DBB" w:rsidR="00490EE5" w:rsidP="4995A719" w:rsidRDefault="00490EE5" w14:paraId="52816115" w14:textId="0C79647A" w14:noSpellErr="1">
            <w:pPr>
              <w:spacing w:after="178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Am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zon Aws Ec2 service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(ECS)</w:t>
            </w:r>
          </w:p>
        </w:tc>
      </w:tr>
      <w:tr w:rsidR="00B83FEF" w:rsidTr="4995A719" w14:paraId="6E0A90A3" w14:textId="77777777">
        <w:trPr>
          <w:trHeight w:val="1711"/>
        </w:trPr>
        <w:tc>
          <w:tcPr>
            <w:tcW w:w="1830" w:type="dxa"/>
            <w:tcMar/>
          </w:tcPr>
          <w:p w:rsidRPr="00215DBB" w:rsidR="00B83FEF" w:rsidP="4995A719" w:rsidRDefault="00B83FEF" w14:paraId="144F69E6" w14:textId="77777777" w14:noSpellErr="1">
            <w:pPr>
              <w:ind w:left="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Orchestration </w:t>
            </w:r>
          </w:p>
          <w:p w:rsidRPr="00215DBB" w:rsidR="00B83FEF" w:rsidP="4995A719" w:rsidRDefault="00B83FEF" w14:paraId="0A6A05A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Mar/>
          </w:tcPr>
          <w:p w:rsidRPr="00215DBB" w:rsidR="00B83FEF" w:rsidP="4995A719" w:rsidRDefault="00B83FEF" w14:paraId="66D86469" w14:noSpellErr="1" w14:textId="632265C7">
            <w:pPr>
              <w:spacing w:after="260" w:line="216" w:lineRule="auto"/>
              <w:ind w:left="8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Kubernetes</w:t>
            </w:r>
          </w:p>
          <w:p w:rsidRPr="00215DBB" w:rsidR="00B83FEF" w:rsidP="4995A719" w:rsidRDefault="00B83FEF" w14:paraId="20681EAE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55" w:type="dxa"/>
            <w:tcMar/>
          </w:tcPr>
          <w:p w:rsidRPr="00215DBB" w:rsidR="00B83FEF" w:rsidP="4995A719" w:rsidRDefault="00B83FEF" w14:paraId="53A6351A" w14:textId="77777777" w14:noSpellErr="1">
            <w:pPr>
              <w:spacing w:after="178" w:line="259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Based on a proprietary clustering technology</w:t>
            </w:r>
          </w:p>
          <w:p w:rsidRPr="00215DBB" w:rsidR="00B83FEF" w:rsidP="4995A719" w:rsidRDefault="00B83FEF" w14:paraId="556DBD7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83FEF" w:rsidTr="4995A719" w14:paraId="561708E0" w14:textId="77777777">
        <w:trPr>
          <w:trHeight w:val="1711"/>
        </w:trPr>
        <w:tc>
          <w:tcPr>
            <w:tcW w:w="1830" w:type="dxa"/>
            <w:tcMar/>
          </w:tcPr>
          <w:p w:rsidRPr="00215DBB" w:rsidR="00B83FEF" w:rsidP="4995A719" w:rsidRDefault="00B83FEF" w14:paraId="265BBA92" w14:textId="38B9EA8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3435" w:type="dxa"/>
            <w:tcMar/>
          </w:tcPr>
          <w:p w:rsidRPr="00215DBB" w:rsidR="00B83FEF" w:rsidP="4995A719" w:rsidRDefault="00B83FEF" w14:paraId="72DCDF07" w14:textId="4BDBF226">
            <w:pPr>
              <w:pStyle w:val="Normal"/>
              <w:spacing w:line="259" w:lineRule="auto"/>
              <w:ind w:lef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Cluster management: 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Free up to 5 nodes, more than 5 nodes Google charges $0.15 per cluster per hour.</w:t>
            </w:r>
          </w:p>
          <w:p w:rsidRPr="00215DBB" w:rsidR="00B83FEF" w:rsidP="4995A719" w:rsidRDefault="00B83FEF" w14:paraId="32106B99" w14:textId="59BB9933">
            <w:pPr>
              <w:pStyle w:val="Normal"/>
              <w:spacing w:line="259" w:lineRule="auto"/>
              <w:ind w:lef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Nodes instances: You will be billed for these instances according to Compute Engine's pricing, until the nodes are deleted</w:t>
            </w:r>
          </w:p>
          <w:p w:rsidRPr="00215DBB" w:rsidR="00B83FEF" w:rsidP="4995A719" w:rsidRDefault="00B83FEF" w14:paraId="28114889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55" w:type="dxa"/>
            <w:tcMar/>
          </w:tcPr>
          <w:p w:rsidRPr="00215DBB" w:rsidR="00B83FEF" w:rsidP="4995A719" w:rsidRDefault="00B83FEF" w14:paraId="58880659" w14:textId="77777777" w14:noSpellErr="1">
            <w:pPr>
              <w:spacing w:line="216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Cluster management: Amazon EC2 Container Service is a free.</w:t>
            </w:r>
          </w:p>
          <w:p w:rsidRPr="00215DBB" w:rsidR="00B83FEF" w:rsidP="4995A719" w:rsidRDefault="00B83FEF" w14:paraId="75686A3B" w14:textId="77777777" w14:noSpellErr="1">
            <w:pPr>
              <w:spacing w:after="62" w:line="216" w:lineRule="auto"/>
              <w:ind w:right="109" w:firstLine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Nodes instances: You pay for AWS resources (e.g. EC2 instances or EBS volumes) you Create to store and run your application.</w:t>
            </w:r>
          </w:p>
          <w:p w:rsidRPr="00215DBB" w:rsidR="00B83FEF" w:rsidP="4995A719" w:rsidRDefault="00B83FEF" w14:paraId="3A186CE9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83FEF" w:rsidTr="4995A719" w14:paraId="7E2BD142" w14:textId="77777777">
        <w:trPr>
          <w:trHeight w:val="1711"/>
        </w:trPr>
        <w:tc>
          <w:tcPr>
            <w:tcW w:w="1830" w:type="dxa"/>
            <w:tcMar/>
          </w:tcPr>
          <w:p w:rsidRPr="00215DBB" w:rsidR="00B83FEF" w:rsidP="4995A719" w:rsidRDefault="00B83FEF" w14:paraId="4CBC583C" w14:textId="363CB3E8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security</w:t>
            </w:r>
          </w:p>
        </w:tc>
        <w:tc>
          <w:tcPr>
            <w:tcW w:w="3435" w:type="dxa"/>
            <w:tcMar/>
          </w:tcPr>
          <w:p w:rsidR="4995A719" w:rsidP="4995A719" w:rsidRDefault="4995A719" w14:paraId="7E5EEB02" w14:textId="48E2FDE4">
            <w:pPr>
              <w:pStyle w:val="Normal"/>
              <w:spacing w:line="259" w:lineRule="auto"/>
              <w:ind w:lef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Leverage Kubernetes security features Control access in the cluster with your Google accounts and role permissions</w:t>
            </w:r>
          </w:p>
          <w:p w:rsidRPr="00215DBB" w:rsidR="00B83FEF" w:rsidP="4995A719" w:rsidRDefault="00B83FEF" w14:paraId="7091CDFC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55" w:type="dxa"/>
            <w:tcMar/>
          </w:tcPr>
          <w:p w:rsidRPr="00215DBB" w:rsidR="00B83FEF" w:rsidP="4995A719" w:rsidRDefault="00B83FEF" w14:paraId="7841A013" w14:textId="7098A09E" w14:noSpellErr="1">
            <w:pPr>
              <w:spacing w:line="216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Parameter Store and task IAM roles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r custom integration with Vault or Key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Whiz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15DBB" w:rsidR="00B83FEF" w:rsidP="4995A719" w:rsidRDefault="00B83FEF" w14:paraId="08A6FCEE" w14:textId="77777777" w14:noSpellErr="1">
            <w:pPr>
              <w:spacing w:line="259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Encryption of secrets with custom keys with</w:t>
            </w:r>
          </w:p>
          <w:p w:rsidRPr="00215DBB" w:rsidR="00B83FEF" w:rsidP="4995A719" w:rsidRDefault="00B83FEF" w14:paraId="0941EC0A" w14:textId="77777777" w14:noSpellErr="1">
            <w:pPr>
              <w:spacing w:after="71" w:line="259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KMS</w:t>
            </w:r>
          </w:p>
          <w:p w:rsidRPr="00215DBB" w:rsidR="00B83FEF" w:rsidP="4995A719" w:rsidRDefault="00B83FEF" w14:paraId="249834B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83FEF" w:rsidTr="4995A719" w14:paraId="2510022F" w14:textId="77777777">
        <w:trPr>
          <w:trHeight w:val="1711"/>
        </w:trPr>
        <w:tc>
          <w:tcPr>
            <w:tcW w:w="1830" w:type="dxa"/>
            <w:tcMar/>
          </w:tcPr>
          <w:p w:rsidRPr="00215DBB" w:rsidR="00B83FEF" w:rsidP="4995A719" w:rsidRDefault="00B83FEF" w14:paraId="02FFB0EB" w14:textId="64174E3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Service discovery</w:t>
            </w:r>
          </w:p>
        </w:tc>
        <w:tc>
          <w:tcPr>
            <w:tcW w:w="3435" w:type="dxa"/>
            <w:tcMar/>
          </w:tcPr>
          <w:p w:rsidRPr="00215DBB" w:rsidR="00B83FEF" w:rsidP="4995A719" w:rsidRDefault="00490EE5" w14:paraId="2632E111" w14:textId="470137C3">
            <w:pPr>
              <w:pStyle w:val="Normal"/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Only requests from outside the cluster are passed through a Load Balancer. A virtual IP provides access to internal services without need for a load balancer.</w:t>
            </w:r>
          </w:p>
        </w:tc>
        <w:tc>
          <w:tcPr>
            <w:tcW w:w="3855" w:type="dxa"/>
            <w:tcMar/>
          </w:tcPr>
          <w:p w:rsidRPr="00215DBB" w:rsidR="00B83FEF" w:rsidP="4995A719" w:rsidRDefault="00B83FEF" w14:paraId="08F11DC7" w14:textId="50D32A34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ECS is using load balancers for service discovery. External as well as internal services are accessible through load balancers. The Application Load Balancer (ALB) offers path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and host-based routing as well as inte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al or external connections.</w:t>
            </w:r>
          </w:p>
        </w:tc>
      </w:tr>
      <w:tr w:rsidR="00B83FEF" w:rsidTr="4995A719" w14:paraId="31F72A69" w14:textId="77777777">
        <w:trPr>
          <w:trHeight w:val="1629"/>
        </w:trPr>
        <w:tc>
          <w:tcPr>
            <w:tcW w:w="1830" w:type="dxa"/>
            <w:tcMar/>
          </w:tcPr>
          <w:p w:rsidRPr="00215DBB" w:rsidR="00B83FEF" w:rsidP="4995A719" w:rsidRDefault="00B83FEF" w14:paraId="723082F6" w14:textId="4D0F39BC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Dev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ops and Integrations</w:t>
            </w:r>
          </w:p>
        </w:tc>
        <w:tc>
          <w:tcPr>
            <w:tcW w:w="3435" w:type="dxa"/>
            <w:tcMar/>
          </w:tcPr>
          <w:p w:rsidR="4995A719" w:rsidP="4995A719" w:rsidRDefault="4995A719" w14:paraId="7360C687" w14:textId="13B7C774">
            <w:pPr>
              <w:pStyle w:val="Normal"/>
              <w:spacing w:line="259" w:lineRule="auto"/>
              <w:ind w:lef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Google Container Builder, </w:t>
            </w:r>
            <w:proofErr w:type="spellStart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CircleCl</w:t>
            </w:r>
            <w:proofErr w:type="spellEnd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, Code fresh, 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Code ship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, Jenkins, Semaphore, Shippable, </w:t>
            </w:r>
            <w:proofErr w:type="spellStart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Solano</w:t>
            </w:r>
            <w:proofErr w:type="spellEnd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Cl, Spinnaker, TeamCity, </w:t>
            </w:r>
            <w:proofErr w:type="spellStart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Wercker</w:t>
            </w:r>
            <w:proofErr w:type="spellEnd"/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, Cloud Shell, Google Container Registry</w:t>
            </w:r>
          </w:p>
          <w:p w:rsidRPr="00215DBB" w:rsidR="00B83FEF" w:rsidP="4995A719" w:rsidRDefault="00B83FEF" w14:paraId="4A1D18E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Mar/>
          </w:tcPr>
          <w:p w:rsidRPr="00215DBB" w:rsidR="00B83FEF" w:rsidP="4995A719" w:rsidRDefault="00B83FEF" w14:paraId="27BA6171" w14:textId="53C3AC73" w14:noSpellErr="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AWS Code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Pipeline, AWS Code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Build, and AWS</w:t>
            </w:r>
          </w:p>
          <w:p w:rsidRPr="00215DBB" w:rsidR="00B83FEF" w:rsidP="4995A719" w:rsidRDefault="00B83FEF" w14:paraId="3438F7E1" w14:textId="25A7CC26" w14:noSpellErr="1">
            <w:pPr>
              <w:spacing w:line="259" w:lineRule="auto"/>
              <w:ind w:left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CloudFormation, Amazon EC2 Container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15DBB" w:rsidR="00B83FEF" w:rsidP="4995A719" w:rsidRDefault="00B83FEF" w14:paraId="5951CB75" w14:textId="77777777" w14:noSpellErr="1">
            <w:pPr>
              <w:spacing w:after="274" w:line="216" w:lineRule="auto"/>
              <w:ind w:firstLine="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A70E30" w:rsidTr="4995A719" w14:paraId="1161F41A" w14:textId="77777777">
        <w:trPr>
          <w:trHeight w:val="1629"/>
        </w:trPr>
        <w:tc>
          <w:tcPr>
            <w:tcW w:w="1830" w:type="dxa"/>
            <w:tcMar/>
          </w:tcPr>
          <w:p w:rsidR="00A70E30" w:rsidP="4995A719" w:rsidRDefault="00A70E30" w14:noSpellErr="1" w14:paraId="7F34A572" w14:textId="5F31FF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Advantages</w:t>
            </w:r>
          </w:p>
          <w:p w:rsidR="00A70E30" w:rsidP="4995A719" w:rsidRDefault="00A70E30" w14:paraId="38F064CE" w14:textId="134675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Mar/>
          </w:tcPr>
          <w:p w:rsidR="00A70E30" w:rsidP="4995A719" w:rsidRDefault="00A70E30" w14:paraId="6FE1BC35" w14:textId="16ED0B4D">
            <w:pPr>
              <w:pStyle w:val="ListParagraph"/>
              <w:numPr>
                <w:ilvl w:val="1"/>
                <w:numId w:val="2"/>
              </w:numPr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Customers get Higher Uptime and Reliability</w:t>
            </w:r>
          </w:p>
          <w:p w:rsidR="00A70E30" w:rsidP="4995A719" w:rsidRDefault="00A70E30" w14:paraId="3B7B45B2" w14:textId="2C03B4F5">
            <w:pPr>
              <w:pStyle w:val="ListParagraph"/>
              <w:numPr>
                <w:ilvl w:val="1"/>
                <w:numId w:val="2"/>
              </w:numPr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Easy to integrate with other Google Cloud Services</w:t>
            </w:r>
          </w:p>
          <w:p w:rsidR="00A70E30" w:rsidP="4995A719" w:rsidRDefault="00A70E30" w14:paraId="7957FAB0" w14:textId="5EF6AB11">
            <w:pPr>
              <w:pStyle w:val="ListParagraph"/>
              <w:numPr>
                <w:ilvl w:val="1"/>
                <w:numId w:val="2"/>
              </w:numPr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Fewer Data stored on Vulnerable Devices</w:t>
            </w:r>
          </w:p>
        </w:tc>
        <w:tc>
          <w:tcPr>
            <w:tcW w:w="3855" w:type="dxa"/>
            <w:tcMar/>
          </w:tcPr>
          <w:p w:rsidR="00943176" w:rsidP="4995A719" w:rsidRDefault="00943176" w14:paraId="3A7E6FCF" w14:textId="53EEB2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Highly secure as policies can be configured to manage permission and control access.</w:t>
            </w:r>
          </w:p>
          <w:p w:rsidR="00943176" w:rsidP="4995A719" w:rsidRDefault="00943176" w14:paraId="1B2D5F16" w14:textId="45138EF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upfront fees or commitments.</w:t>
            </w:r>
          </w:p>
          <w:p w:rsidR="00943176" w:rsidP="4995A719" w:rsidRDefault="00943176" w14:paraId="427F52DA" w14:textId="5A099D4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Many</w:t>
            </w: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supported third party services. </w:t>
            </w:r>
          </w:p>
          <w:p w:rsidR="00943176" w:rsidP="4995A719" w:rsidRDefault="00943176" w14:paraId="3F39398F" w14:textId="04AC886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. Powerful and more customizable</w:t>
            </w:r>
          </w:p>
        </w:tc>
      </w:tr>
      <w:tr w:rsidR="4995A719" w:rsidTr="4995A719" w14:paraId="3FC3A813">
        <w:trPr>
          <w:trHeight w:val="1629"/>
        </w:trPr>
        <w:tc>
          <w:tcPr>
            <w:tcW w:w="1830" w:type="dxa"/>
            <w:tcMar/>
          </w:tcPr>
          <w:p w:rsidR="4995A719" w:rsidP="4995A719" w:rsidRDefault="4995A719" w14:noSpellErr="1" w14:paraId="3908A661" w14:textId="448FC7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Disadvantages</w:t>
            </w:r>
          </w:p>
          <w:p w:rsidR="4995A719" w:rsidP="4995A719" w:rsidRDefault="4995A719" w14:paraId="219E008C" w14:textId="0C95AF8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Mar/>
          </w:tcPr>
          <w:p w:rsidR="4995A719" w:rsidP="4995A719" w:rsidRDefault="4995A719" w14:paraId="2A2323C3" w14:textId="005BE8C2">
            <w:pPr>
              <w:pStyle w:val="Normal"/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1.Downloading data from Google Cloud Storage is expensive</w:t>
            </w:r>
          </w:p>
          <w:p w:rsidR="4995A719" w:rsidP="4995A719" w:rsidRDefault="4995A719" w14:paraId="20386FF0" w14:textId="2315279B">
            <w:pPr>
              <w:pStyle w:val="Normal"/>
              <w:ind w:right="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</w:pP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2.Prices in both Microsoft 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Azure or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Back blaze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B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2 are</w:t>
            </w:r>
            <w:r w:rsidRPr="4995A719" w:rsidR="4995A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lower than Google Cloud Storage</w:t>
            </w:r>
          </w:p>
          <w:p w:rsidR="4995A719" w:rsidP="4995A719" w:rsidRDefault="4995A719" w14:paraId="52204EAD" w14:textId="6ABA65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tcMar/>
          </w:tcPr>
          <w:p w:rsidR="4995A719" w:rsidP="4995A719" w:rsidRDefault="4995A719" w14:noSpellErr="1" w14:paraId="561448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1.Consistency is less when compared with Azure.</w:t>
            </w:r>
          </w:p>
          <w:p w:rsidR="4995A719" w:rsidP="4995A719" w:rsidRDefault="4995A719" w14:noSpellErr="1" w14:paraId="1DA54838" w14:textId="6C075C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5A719" w:rsidR="4995A719">
              <w:rPr>
                <w:rFonts w:ascii="Times New Roman" w:hAnsi="Times New Roman" w:eastAsia="Times New Roman" w:cs="Times New Roman"/>
                <w:sz w:val="24"/>
                <w:szCs w:val="24"/>
              </w:rPr>
              <w:t>2.Lack of insight into registry usage.</w:t>
            </w:r>
          </w:p>
          <w:p w:rsidR="4995A719" w:rsidP="4995A719" w:rsidRDefault="4995A719" w14:paraId="6457B54D" w14:textId="62AC16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560954" w:rsidR="00B05E9D" w:rsidP="4995A719" w:rsidRDefault="00B05E9D" w14:paraId="32913AB1" w14:textId="438C1373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560954" w:rsidR="00B05E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C54106"/>
    <w:multiLevelType w:val="multilevel"/>
    <w:tmpl w:val="65C8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54"/>
    <w:rsid w:val="00072E88"/>
    <w:rsid w:val="000B7D29"/>
    <w:rsid w:val="00114458"/>
    <w:rsid w:val="00215DBB"/>
    <w:rsid w:val="002E68A2"/>
    <w:rsid w:val="003E55C3"/>
    <w:rsid w:val="00490EE5"/>
    <w:rsid w:val="00527868"/>
    <w:rsid w:val="00536852"/>
    <w:rsid w:val="00560954"/>
    <w:rsid w:val="00590DE2"/>
    <w:rsid w:val="006A7C98"/>
    <w:rsid w:val="006D3D76"/>
    <w:rsid w:val="00764B5E"/>
    <w:rsid w:val="00770321"/>
    <w:rsid w:val="0091615C"/>
    <w:rsid w:val="00930E07"/>
    <w:rsid w:val="00943176"/>
    <w:rsid w:val="00A70E30"/>
    <w:rsid w:val="00B05E9D"/>
    <w:rsid w:val="00B26897"/>
    <w:rsid w:val="00B83FEF"/>
    <w:rsid w:val="00C3215A"/>
    <w:rsid w:val="00D145BE"/>
    <w:rsid w:val="00D15F51"/>
    <w:rsid w:val="00DE111E"/>
    <w:rsid w:val="00E71B82"/>
    <w:rsid w:val="2E461F93"/>
    <w:rsid w:val="4995A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DF51"/>
  <w15:chartTrackingRefBased/>
  <w15:docId w15:val="{3F471FED-932E-4F6B-9862-84DAE977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8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95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83F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B26897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B26897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gh" w:customStyle="1">
    <w:name w:val="gh"/>
    <w:basedOn w:val="Normal"/>
    <w:rsid w:val="00B268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6897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6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50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webopedia.com/TERM/C/clustering.html" TargetMode="External" Id="R7b3f39caecb74dec" /><Relationship Type="http://schemas.openxmlformats.org/officeDocument/2006/relationships/hyperlink" Target="https://www.webopedia.com/TERM/C/containerization.html" TargetMode="External" Id="R4ebc28b64d0745c2" /><Relationship Type="http://schemas.openxmlformats.org/officeDocument/2006/relationships/hyperlink" Target="https://www.webopedia.com/TERM/D/docker.html" TargetMode="External" Id="Rce2248ccb6f44022" /><Relationship Type="http://schemas.openxmlformats.org/officeDocument/2006/relationships/hyperlink" Target="https://www.webopedia.com/TERM/K/kubernetes.html" TargetMode="External" Id="R6fca68b9868b4948" /><Relationship Type="http://schemas.openxmlformats.org/officeDocument/2006/relationships/hyperlink" Target="https://www.webopedia.com/TERM/O/on-premises.html" TargetMode="External" Id="R5a0c627b33e5466b" /><Relationship Type="http://schemas.openxmlformats.org/officeDocument/2006/relationships/hyperlink" Target="https://www.webopedia.com/TERM/O/on-premises.html" TargetMode="External" Id="Rde9aba1823ce477a" /><Relationship Type="http://schemas.openxmlformats.org/officeDocument/2006/relationships/hyperlink" Target="https://www.webopedia.com/TERM/P/public_cloud.html" TargetMode="External" Id="R6919c99bff6f4768" /><Relationship Type="http://schemas.openxmlformats.org/officeDocument/2006/relationships/hyperlink" Target="https://www.webopedia.com/TERM/C/CLI.html" TargetMode="External" Id="R85bd86f3ff81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rishitesh reddy</dc:creator>
  <keywords/>
  <dc:description/>
  <lastModifiedBy>kumar reddy</lastModifiedBy>
  <revision>4</revision>
  <lastPrinted>2020-06-03T14:46:00.0000000Z</lastPrinted>
  <dcterms:created xsi:type="dcterms:W3CDTF">2020-06-03T16:51:00.0000000Z</dcterms:created>
  <dcterms:modified xsi:type="dcterms:W3CDTF">2020-06-04T12:57:48.9019242Z</dcterms:modified>
</coreProperties>
</file>