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6BDDB" w14:textId="77777777" w:rsidR="008616AC" w:rsidRDefault="008616AC">
      <w:pPr>
        <w:spacing w:before="300"/>
      </w:pPr>
    </w:p>
    <w:p w14:paraId="429E3C6C" w14:textId="77777777" w:rsidR="008616AC" w:rsidRDefault="00000000">
      <w:pPr>
        <w:spacing w:after="40"/>
        <w:jc w:val="center"/>
      </w:pPr>
      <w:r>
        <w:rPr>
          <w:b/>
          <w:bCs/>
          <w:color w:val="0B2545"/>
          <w:sz w:val="34"/>
          <w:szCs w:val="34"/>
        </w:rPr>
        <w:t>SIMATS ENGINEERING</w:t>
      </w:r>
    </w:p>
    <w:p w14:paraId="4B80C81C" w14:textId="77777777" w:rsidR="008616AC" w:rsidRDefault="00000000">
      <w:pPr>
        <w:spacing w:after="20"/>
        <w:jc w:val="center"/>
      </w:pPr>
      <w:r>
        <w:rPr>
          <w:i/>
          <w:iCs/>
          <w:color w:val="0F7C82"/>
          <w:sz w:val="24"/>
          <w:szCs w:val="24"/>
        </w:rPr>
        <w:t>(Saveetha School of Engineering)</w:t>
      </w:r>
    </w:p>
    <w:p w14:paraId="2689C1F3" w14:textId="77777777" w:rsidR="008616AC" w:rsidRDefault="00000000">
      <w:pPr>
        <w:spacing w:after="300"/>
        <w:jc w:val="center"/>
      </w:pPr>
      <w:r>
        <w:rPr>
          <w:b/>
          <w:bCs/>
          <w:color w:val="0B2545"/>
          <w:sz w:val="24"/>
          <w:szCs w:val="24"/>
        </w:rPr>
        <w:t>Department of Computer Science and Engineering</w:t>
      </w:r>
    </w:p>
    <w:p w14:paraId="3E3F09E5" w14:textId="77777777" w:rsidR="008616AC" w:rsidRDefault="00000000">
      <w:pPr>
        <w:spacing w:before="200" w:after="100"/>
        <w:jc w:val="center"/>
      </w:pPr>
      <w:r>
        <w:rPr>
          <w:b/>
          <w:bCs/>
          <w:color w:val="0B2545"/>
          <w:sz w:val="30"/>
          <w:szCs w:val="30"/>
        </w:rPr>
        <w:t>CO2 ASSESSMENT TOOL 2</w:t>
      </w:r>
    </w:p>
    <w:p w14:paraId="136B5D60" w14:textId="77777777" w:rsidR="008616AC" w:rsidRDefault="00000000">
      <w:pPr>
        <w:spacing w:after="500"/>
        <w:jc w:val="center"/>
      </w:pPr>
      <w:r>
        <w:rPr>
          <w:b/>
          <w:bCs/>
          <w:color w:val="0F7C82"/>
          <w:sz w:val="28"/>
          <w:szCs w:val="28"/>
        </w:rPr>
        <w:t>Architecture Design Assignment</w:t>
      </w:r>
    </w:p>
    <w:p w14:paraId="18E9F4C8" w14:textId="77777777" w:rsidR="008616AC" w:rsidRDefault="00000000">
      <w:pPr>
        <w:spacing w:after="200"/>
        <w:jc w:val="center"/>
      </w:pPr>
      <w:r>
        <w:rPr>
          <w:i/>
          <w:iCs/>
          <w:color w:val="444444"/>
          <w:sz w:val="24"/>
          <w:szCs w:val="24"/>
        </w:rPr>
        <w:t xml:space="preserve">Case Study: </w:t>
      </w:r>
      <w:proofErr w:type="spellStart"/>
      <w:r>
        <w:rPr>
          <w:i/>
          <w:iCs/>
          <w:color w:val="444444"/>
          <w:sz w:val="24"/>
          <w:szCs w:val="24"/>
        </w:rPr>
        <w:t>MediVault</w:t>
      </w:r>
      <w:proofErr w:type="spellEnd"/>
      <w:r>
        <w:rPr>
          <w:i/>
          <w:iCs/>
          <w:color w:val="444444"/>
          <w:sz w:val="24"/>
          <w:szCs w:val="24"/>
        </w:rPr>
        <w:t xml:space="preserve"> — Healthcare Prescription Management Platform</w:t>
      </w:r>
    </w:p>
    <w:p w14:paraId="62606C61" w14:textId="77777777" w:rsidR="008616AC" w:rsidRDefault="008616AC">
      <w:pPr>
        <w:spacing w:after="400"/>
      </w:pPr>
    </w:p>
    <w:tbl>
      <w:tblPr>
        <w:tblW w:w="40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948"/>
        <w:gridCol w:w="4809"/>
      </w:tblGrid>
      <w:tr w:rsidR="008616AC" w14:paraId="001178B6" w14:textId="77777777">
        <w:tblPrEx>
          <w:tblCellMar>
            <w:top w:w="0" w:type="dxa"/>
            <w:bottom w:w="0" w:type="dxa"/>
          </w:tblCellMar>
        </w:tblPrEx>
        <w:trPr>
          <w:jc w:val="center"/>
        </w:trPr>
        <w:tc>
          <w:tcPr>
            <w:tcW w:w="1900" w:type="pct"/>
            <w:shd w:val="clear" w:color="auto" w:fill="E6F4F4"/>
            <w:tcMar>
              <w:top w:w="100" w:type="dxa"/>
              <w:left w:w="150" w:type="dxa"/>
              <w:bottom w:w="100" w:type="dxa"/>
              <w:right w:w="150" w:type="dxa"/>
            </w:tcMar>
            <w:vAlign w:val="center"/>
          </w:tcPr>
          <w:p w14:paraId="282AA945" w14:textId="77777777" w:rsidR="008616AC" w:rsidRDefault="00000000">
            <w:r>
              <w:rPr>
                <w:b/>
                <w:bCs/>
                <w:color w:val="0B2545"/>
              </w:rPr>
              <w:t>Submitted By</w:t>
            </w:r>
          </w:p>
        </w:tc>
        <w:tc>
          <w:tcPr>
            <w:tcW w:w="3100" w:type="pct"/>
            <w:shd w:val="clear" w:color="auto" w:fill="F7FBFB"/>
            <w:tcMar>
              <w:top w:w="100" w:type="dxa"/>
              <w:left w:w="150" w:type="dxa"/>
              <w:bottom w:w="100" w:type="dxa"/>
              <w:right w:w="150" w:type="dxa"/>
            </w:tcMar>
            <w:vAlign w:val="center"/>
          </w:tcPr>
          <w:p w14:paraId="07AC825A" w14:textId="77777777" w:rsidR="008616AC" w:rsidRDefault="00000000">
            <w:r>
              <w:rPr>
                <w:color w:val="1A1A1A"/>
              </w:rPr>
              <w:t xml:space="preserve">Y. </w:t>
            </w:r>
            <w:proofErr w:type="spellStart"/>
            <w:r>
              <w:rPr>
                <w:color w:val="1A1A1A"/>
              </w:rPr>
              <w:t>Rishitha</w:t>
            </w:r>
            <w:proofErr w:type="spellEnd"/>
            <w:r>
              <w:rPr>
                <w:color w:val="1A1A1A"/>
              </w:rPr>
              <w:t xml:space="preserve"> Reddy</w:t>
            </w:r>
          </w:p>
        </w:tc>
      </w:tr>
      <w:tr w:rsidR="008616AC" w14:paraId="038F8370" w14:textId="77777777">
        <w:tblPrEx>
          <w:tblCellMar>
            <w:top w:w="0" w:type="dxa"/>
            <w:bottom w:w="0" w:type="dxa"/>
          </w:tblCellMar>
        </w:tblPrEx>
        <w:trPr>
          <w:jc w:val="center"/>
        </w:trPr>
        <w:tc>
          <w:tcPr>
            <w:tcW w:w="1900" w:type="pct"/>
            <w:shd w:val="clear" w:color="auto" w:fill="E6F4F4"/>
            <w:tcMar>
              <w:top w:w="100" w:type="dxa"/>
              <w:left w:w="150" w:type="dxa"/>
              <w:bottom w:w="100" w:type="dxa"/>
              <w:right w:w="150" w:type="dxa"/>
            </w:tcMar>
            <w:vAlign w:val="center"/>
          </w:tcPr>
          <w:p w14:paraId="39509291" w14:textId="77777777" w:rsidR="008616AC" w:rsidRDefault="00000000">
            <w:r>
              <w:rPr>
                <w:b/>
                <w:bCs/>
                <w:color w:val="0B2545"/>
              </w:rPr>
              <w:t>Register No.</w:t>
            </w:r>
          </w:p>
        </w:tc>
        <w:tc>
          <w:tcPr>
            <w:tcW w:w="3100" w:type="pct"/>
            <w:shd w:val="clear" w:color="auto" w:fill="FFFFFF"/>
            <w:tcMar>
              <w:top w:w="100" w:type="dxa"/>
              <w:left w:w="150" w:type="dxa"/>
              <w:bottom w:w="100" w:type="dxa"/>
              <w:right w:w="150" w:type="dxa"/>
            </w:tcMar>
            <w:vAlign w:val="center"/>
          </w:tcPr>
          <w:p w14:paraId="6313A435" w14:textId="77777777" w:rsidR="008616AC" w:rsidRDefault="00000000">
            <w:r>
              <w:rPr>
                <w:color w:val="1A1A1A"/>
              </w:rPr>
              <w:t>192424233</w:t>
            </w:r>
          </w:p>
        </w:tc>
      </w:tr>
      <w:tr w:rsidR="008616AC" w14:paraId="2AA0C96A" w14:textId="77777777">
        <w:tblPrEx>
          <w:tblCellMar>
            <w:top w:w="0" w:type="dxa"/>
            <w:bottom w:w="0" w:type="dxa"/>
          </w:tblCellMar>
        </w:tblPrEx>
        <w:trPr>
          <w:jc w:val="center"/>
        </w:trPr>
        <w:tc>
          <w:tcPr>
            <w:tcW w:w="1900" w:type="pct"/>
            <w:shd w:val="clear" w:color="auto" w:fill="E6F4F4"/>
            <w:tcMar>
              <w:top w:w="100" w:type="dxa"/>
              <w:left w:w="150" w:type="dxa"/>
              <w:bottom w:w="100" w:type="dxa"/>
              <w:right w:w="150" w:type="dxa"/>
            </w:tcMar>
            <w:vAlign w:val="center"/>
          </w:tcPr>
          <w:p w14:paraId="33B20EAB" w14:textId="77777777" w:rsidR="008616AC" w:rsidRDefault="00000000">
            <w:r>
              <w:rPr>
                <w:b/>
                <w:bCs/>
                <w:color w:val="0B2545"/>
              </w:rPr>
              <w:t>Department</w:t>
            </w:r>
          </w:p>
        </w:tc>
        <w:tc>
          <w:tcPr>
            <w:tcW w:w="3100" w:type="pct"/>
            <w:shd w:val="clear" w:color="auto" w:fill="F7FBFB"/>
            <w:tcMar>
              <w:top w:w="100" w:type="dxa"/>
              <w:left w:w="150" w:type="dxa"/>
              <w:bottom w:w="100" w:type="dxa"/>
              <w:right w:w="150" w:type="dxa"/>
            </w:tcMar>
            <w:vAlign w:val="center"/>
          </w:tcPr>
          <w:p w14:paraId="50E98BB0" w14:textId="77777777" w:rsidR="008616AC" w:rsidRDefault="00000000">
            <w:r>
              <w:rPr>
                <w:color w:val="1A1A1A"/>
              </w:rPr>
              <w:t>Artificial Intelligence and Data Science</w:t>
            </w:r>
          </w:p>
        </w:tc>
      </w:tr>
      <w:tr w:rsidR="008616AC" w14:paraId="37DEDC94" w14:textId="77777777">
        <w:tblPrEx>
          <w:tblCellMar>
            <w:top w:w="0" w:type="dxa"/>
            <w:bottom w:w="0" w:type="dxa"/>
          </w:tblCellMar>
        </w:tblPrEx>
        <w:trPr>
          <w:jc w:val="center"/>
        </w:trPr>
        <w:tc>
          <w:tcPr>
            <w:tcW w:w="1900" w:type="pct"/>
            <w:shd w:val="clear" w:color="auto" w:fill="E6F4F4"/>
            <w:tcMar>
              <w:top w:w="100" w:type="dxa"/>
              <w:left w:w="150" w:type="dxa"/>
              <w:bottom w:w="100" w:type="dxa"/>
              <w:right w:w="150" w:type="dxa"/>
            </w:tcMar>
            <w:vAlign w:val="center"/>
          </w:tcPr>
          <w:p w14:paraId="755B9F40" w14:textId="77777777" w:rsidR="008616AC" w:rsidRDefault="00000000">
            <w:r>
              <w:rPr>
                <w:b/>
                <w:bCs/>
                <w:color w:val="0B2545"/>
              </w:rPr>
              <w:t>Subject</w:t>
            </w:r>
          </w:p>
        </w:tc>
        <w:tc>
          <w:tcPr>
            <w:tcW w:w="3100" w:type="pct"/>
            <w:shd w:val="clear" w:color="auto" w:fill="FFFFFF"/>
            <w:tcMar>
              <w:top w:w="100" w:type="dxa"/>
              <w:left w:w="150" w:type="dxa"/>
              <w:bottom w:w="100" w:type="dxa"/>
              <w:right w:w="150" w:type="dxa"/>
            </w:tcMar>
            <w:vAlign w:val="center"/>
          </w:tcPr>
          <w:p w14:paraId="56F95FD9" w14:textId="77777777" w:rsidR="008616AC" w:rsidRDefault="00000000">
            <w:r>
              <w:rPr>
                <w:color w:val="1A1A1A"/>
              </w:rPr>
              <w:t>Software Engineering</w:t>
            </w:r>
          </w:p>
        </w:tc>
      </w:tr>
      <w:tr w:rsidR="008616AC" w14:paraId="3E54B63F" w14:textId="77777777">
        <w:tblPrEx>
          <w:tblCellMar>
            <w:top w:w="0" w:type="dxa"/>
            <w:bottom w:w="0" w:type="dxa"/>
          </w:tblCellMar>
        </w:tblPrEx>
        <w:trPr>
          <w:jc w:val="center"/>
        </w:trPr>
        <w:tc>
          <w:tcPr>
            <w:tcW w:w="1900" w:type="pct"/>
            <w:shd w:val="clear" w:color="auto" w:fill="E6F4F4"/>
            <w:tcMar>
              <w:top w:w="100" w:type="dxa"/>
              <w:left w:w="150" w:type="dxa"/>
              <w:bottom w:w="100" w:type="dxa"/>
              <w:right w:w="150" w:type="dxa"/>
            </w:tcMar>
            <w:vAlign w:val="center"/>
          </w:tcPr>
          <w:p w14:paraId="7BC0DDF2" w14:textId="77777777" w:rsidR="008616AC" w:rsidRDefault="00000000">
            <w:r>
              <w:rPr>
                <w:b/>
                <w:bCs/>
                <w:color w:val="0B2545"/>
              </w:rPr>
              <w:t>Faculty</w:t>
            </w:r>
          </w:p>
        </w:tc>
        <w:tc>
          <w:tcPr>
            <w:tcW w:w="3100" w:type="pct"/>
            <w:shd w:val="clear" w:color="auto" w:fill="F7FBFB"/>
            <w:tcMar>
              <w:top w:w="100" w:type="dxa"/>
              <w:left w:w="150" w:type="dxa"/>
              <w:bottom w:w="100" w:type="dxa"/>
              <w:right w:w="150" w:type="dxa"/>
            </w:tcMar>
            <w:vAlign w:val="center"/>
          </w:tcPr>
          <w:p w14:paraId="310F985B" w14:textId="77777777" w:rsidR="008616AC" w:rsidRDefault="00000000">
            <w:r>
              <w:rPr>
                <w:color w:val="1A1A1A"/>
              </w:rPr>
              <w:t>Dr. Latha R</w:t>
            </w:r>
          </w:p>
        </w:tc>
      </w:tr>
      <w:tr w:rsidR="008616AC" w14:paraId="581817BE" w14:textId="77777777">
        <w:tblPrEx>
          <w:tblCellMar>
            <w:top w:w="0" w:type="dxa"/>
            <w:bottom w:w="0" w:type="dxa"/>
          </w:tblCellMar>
        </w:tblPrEx>
        <w:trPr>
          <w:jc w:val="center"/>
        </w:trPr>
        <w:tc>
          <w:tcPr>
            <w:tcW w:w="1900" w:type="pct"/>
            <w:shd w:val="clear" w:color="auto" w:fill="E6F4F4"/>
            <w:tcMar>
              <w:top w:w="100" w:type="dxa"/>
              <w:left w:w="150" w:type="dxa"/>
              <w:bottom w:w="100" w:type="dxa"/>
              <w:right w:w="150" w:type="dxa"/>
            </w:tcMar>
            <w:vAlign w:val="center"/>
          </w:tcPr>
          <w:p w14:paraId="52E06AE6" w14:textId="77777777" w:rsidR="008616AC" w:rsidRDefault="00000000">
            <w:r>
              <w:rPr>
                <w:b/>
                <w:bCs/>
                <w:color w:val="0B2545"/>
              </w:rPr>
              <w:t>College</w:t>
            </w:r>
          </w:p>
        </w:tc>
        <w:tc>
          <w:tcPr>
            <w:tcW w:w="3100" w:type="pct"/>
            <w:shd w:val="clear" w:color="auto" w:fill="FFFFFF"/>
            <w:tcMar>
              <w:top w:w="100" w:type="dxa"/>
              <w:left w:w="150" w:type="dxa"/>
              <w:bottom w:w="100" w:type="dxa"/>
              <w:right w:w="150" w:type="dxa"/>
            </w:tcMar>
            <w:vAlign w:val="center"/>
          </w:tcPr>
          <w:p w14:paraId="0671D57F" w14:textId="77777777" w:rsidR="008616AC" w:rsidRDefault="00000000">
            <w:r>
              <w:rPr>
                <w:color w:val="1A1A1A"/>
              </w:rPr>
              <w:t>SIMATS Engineering</w:t>
            </w:r>
          </w:p>
        </w:tc>
      </w:tr>
      <w:tr w:rsidR="008616AC" w14:paraId="0007157E" w14:textId="77777777">
        <w:tblPrEx>
          <w:tblCellMar>
            <w:top w:w="0" w:type="dxa"/>
            <w:bottom w:w="0" w:type="dxa"/>
          </w:tblCellMar>
        </w:tblPrEx>
        <w:trPr>
          <w:jc w:val="center"/>
        </w:trPr>
        <w:tc>
          <w:tcPr>
            <w:tcW w:w="1900" w:type="pct"/>
            <w:shd w:val="clear" w:color="auto" w:fill="E6F4F4"/>
            <w:tcMar>
              <w:top w:w="100" w:type="dxa"/>
              <w:left w:w="150" w:type="dxa"/>
              <w:bottom w:w="100" w:type="dxa"/>
              <w:right w:w="150" w:type="dxa"/>
            </w:tcMar>
            <w:vAlign w:val="center"/>
          </w:tcPr>
          <w:p w14:paraId="2F53AD1D" w14:textId="77777777" w:rsidR="008616AC" w:rsidRDefault="00000000">
            <w:r>
              <w:rPr>
                <w:b/>
                <w:bCs/>
                <w:color w:val="0B2545"/>
              </w:rPr>
              <w:t>Academic Year</w:t>
            </w:r>
          </w:p>
        </w:tc>
        <w:tc>
          <w:tcPr>
            <w:tcW w:w="3100" w:type="pct"/>
            <w:shd w:val="clear" w:color="auto" w:fill="F7FBFB"/>
            <w:tcMar>
              <w:top w:w="100" w:type="dxa"/>
              <w:left w:w="150" w:type="dxa"/>
              <w:bottom w:w="100" w:type="dxa"/>
              <w:right w:w="150" w:type="dxa"/>
            </w:tcMar>
            <w:vAlign w:val="center"/>
          </w:tcPr>
          <w:p w14:paraId="38250A40" w14:textId="77777777" w:rsidR="008616AC" w:rsidRDefault="00000000">
            <w:r>
              <w:rPr>
                <w:color w:val="1A1A1A"/>
              </w:rPr>
              <w:t>2024 – 2028</w:t>
            </w:r>
          </w:p>
        </w:tc>
      </w:tr>
    </w:tbl>
    <w:p w14:paraId="2AD026E4" w14:textId="77777777" w:rsidR="008616AC" w:rsidRDefault="00000000">
      <w:r>
        <w:br w:type="page"/>
      </w:r>
    </w:p>
    <w:p w14:paraId="0E70C170" w14:textId="77777777" w:rsidR="008616AC" w:rsidRDefault="00000000">
      <w:pPr>
        <w:pStyle w:val="Heading1"/>
        <w:spacing w:before="320" w:after="160"/>
      </w:pPr>
      <w:r>
        <w:rPr>
          <w:b/>
          <w:bCs/>
          <w:color w:val="0B2545"/>
        </w:rPr>
        <w:lastRenderedPageBreak/>
        <w:t>1. System Requirements Analysis</w:t>
      </w:r>
    </w:p>
    <w:p w14:paraId="16B9A72D" w14:textId="77777777" w:rsidR="008616AC" w:rsidRDefault="00000000">
      <w:pPr>
        <w:spacing w:before="220" w:after="120"/>
      </w:pPr>
      <w:r>
        <w:rPr>
          <w:b/>
          <w:bCs/>
          <w:color w:val="0F7C82"/>
          <w:sz w:val="24"/>
          <w:szCs w:val="24"/>
        </w:rPr>
        <w:t>1.1 Problem Overview</w:t>
      </w:r>
    </w:p>
    <w:p w14:paraId="6B4F39BE" w14:textId="77777777" w:rsidR="008616AC" w:rsidRDefault="00000000">
      <w:pPr>
        <w:spacing w:after="140" w:line="300" w:lineRule="auto"/>
      </w:pPr>
      <w:proofErr w:type="spellStart"/>
      <w:r>
        <w:rPr>
          <w:color w:val="1A1A1A"/>
          <w:sz w:val="22"/>
          <w:szCs w:val="22"/>
        </w:rPr>
        <w:t>MediVault</w:t>
      </w:r>
      <w:proofErr w:type="spellEnd"/>
      <w:r>
        <w:rPr>
          <w:color w:val="1A1A1A"/>
          <w:sz w:val="22"/>
          <w:szCs w:val="22"/>
        </w:rPr>
        <w:t xml:space="preserve"> is a healthcare prescription management platform designed to digitize the complete prescription lifecycle — from a doctor issuing a prescription, to a patient viewing and managing it, to a pharmacy fulfilling it. The system must securely connect patients, doctors, and pharmacies while maintaining strict compliance with healthcare data protection standards.</w:t>
      </w:r>
    </w:p>
    <w:p w14:paraId="59672A67" w14:textId="77777777" w:rsidR="008616AC" w:rsidRDefault="00000000">
      <w:pPr>
        <w:spacing w:before="220" w:after="120"/>
      </w:pPr>
      <w:r>
        <w:rPr>
          <w:b/>
          <w:bCs/>
          <w:color w:val="0F7C82"/>
          <w:sz w:val="24"/>
          <w:szCs w:val="24"/>
        </w:rPr>
        <w:t>1.2 System Objectives</w:t>
      </w:r>
    </w:p>
    <w:p w14:paraId="65D29F56" w14:textId="77777777" w:rsidR="008616AC" w:rsidRDefault="00000000">
      <w:pPr>
        <w:pStyle w:val="ListParagraph"/>
        <w:numPr>
          <w:ilvl w:val="0"/>
          <w:numId w:val="2"/>
        </w:numPr>
        <w:spacing w:after="90" w:line="290" w:lineRule="auto"/>
      </w:pPr>
      <w:r>
        <w:rPr>
          <w:color w:val="1A1A1A"/>
          <w:sz w:val="22"/>
          <w:szCs w:val="22"/>
        </w:rPr>
        <w:t>Enable doctors to create, update, and digitally sign prescriptions.</w:t>
      </w:r>
    </w:p>
    <w:p w14:paraId="5C3791FD" w14:textId="77777777" w:rsidR="008616AC" w:rsidRDefault="00000000">
      <w:pPr>
        <w:pStyle w:val="ListParagraph"/>
        <w:numPr>
          <w:ilvl w:val="0"/>
          <w:numId w:val="2"/>
        </w:numPr>
        <w:spacing w:after="90" w:line="290" w:lineRule="auto"/>
      </w:pPr>
      <w:r>
        <w:rPr>
          <w:color w:val="1A1A1A"/>
          <w:sz w:val="22"/>
          <w:szCs w:val="22"/>
        </w:rPr>
        <w:t>Allow patients to view, track, and receive reminders for their prescriptions and refills.</w:t>
      </w:r>
    </w:p>
    <w:p w14:paraId="5AE87864" w14:textId="77777777" w:rsidR="008616AC" w:rsidRDefault="00000000">
      <w:pPr>
        <w:pStyle w:val="ListParagraph"/>
        <w:numPr>
          <w:ilvl w:val="0"/>
          <w:numId w:val="2"/>
        </w:numPr>
        <w:spacing w:after="90" w:line="290" w:lineRule="auto"/>
      </w:pPr>
      <w:r>
        <w:rPr>
          <w:color w:val="1A1A1A"/>
          <w:sz w:val="22"/>
          <w:szCs w:val="22"/>
        </w:rPr>
        <w:t>Allow pharmacies to receive, verify, and fulfil prescriptions electronically.</w:t>
      </w:r>
    </w:p>
    <w:p w14:paraId="235F7A3C" w14:textId="77777777" w:rsidR="008616AC" w:rsidRDefault="00000000">
      <w:pPr>
        <w:pStyle w:val="ListParagraph"/>
        <w:numPr>
          <w:ilvl w:val="0"/>
          <w:numId w:val="2"/>
        </w:numPr>
        <w:spacing w:after="90" w:line="290" w:lineRule="auto"/>
      </w:pPr>
      <w:r>
        <w:rPr>
          <w:color w:val="1A1A1A"/>
          <w:sz w:val="22"/>
          <w:szCs w:val="22"/>
        </w:rPr>
        <w:t>Maintain a secure, auditable, and tamper-evident record of all prescription activity.</w:t>
      </w:r>
    </w:p>
    <w:p w14:paraId="20E10479" w14:textId="77777777" w:rsidR="008616AC" w:rsidRDefault="00000000">
      <w:pPr>
        <w:pStyle w:val="ListParagraph"/>
        <w:numPr>
          <w:ilvl w:val="0"/>
          <w:numId w:val="2"/>
        </w:numPr>
        <w:spacing w:after="90" w:line="290" w:lineRule="auto"/>
      </w:pPr>
      <w:r>
        <w:rPr>
          <w:color w:val="1A1A1A"/>
          <w:sz w:val="22"/>
          <w:szCs w:val="22"/>
        </w:rPr>
        <w:t>Integrate with external hospital, insurance, and pharmacy networks where required.</w:t>
      </w:r>
    </w:p>
    <w:p w14:paraId="73756408" w14:textId="77777777" w:rsidR="008616AC" w:rsidRDefault="00000000">
      <w:pPr>
        <w:spacing w:before="220" w:after="120"/>
      </w:pPr>
      <w:r>
        <w:rPr>
          <w:b/>
          <w:bCs/>
          <w:color w:val="0F7C82"/>
          <w:sz w:val="24"/>
          <w:szCs w:val="24"/>
        </w:rPr>
        <w:t>1.3 Functional Requirements</w:t>
      </w:r>
    </w:p>
    <w:p w14:paraId="798B6B15" w14:textId="77777777" w:rsidR="008616AC" w:rsidRDefault="00000000">
      <w:pPr>
        <w:pStyle w:val="ListParagraph"/>
        <w:numPr>
          <w:ilvl w:val="0"/>
          <w:numId w:val="2"/>
        </w:numPr>
        <w:spacing w:after="90" w:line="290" w:lineRule="auto"/>
      </w:pPr>
      <w:r>
        <w:rPr>
          <w:color w:val="1A1A1A"/>
          <w:sz w:val="22"/>
          <w:szCs w:val="22"/>
        </w:rPr>
        <w:t>User registration and role-based authentication for patients, doctors, and pharmacists.</w:t>
      </w:r>
    </w:p>
    <w:p w14:paraId="7497FF49" w14:textId="77777777" w:rsidR="008616AC" w:rsidRDefault="00000000">
      <w:pPr>
        <w:pStyle w:val="ListParagraph"/>
        <w:numPr>
          <w:ilvl w:val="0"/>
          <w:numId w:val="2"/>
        </w:numPr>
        <w:spacing w:after="90" w:line="290" w:lineRule="auto"/>
      </w:pPr>
      <w:r>
        <w:rPr>
          <w:color w:val="1A1A1A"/>
          <w:sz w:val="22"/>
          <w:szCs w:val="22"/>
        </w:rPr>
        <w:t>Prescription creation, digital signing, editing (with version history), and cancellation.</w:t>
      </w:r>
    </w:p>
    <w:p w14:paraId="06297AB3" w14:textId="77777777" w:rsidR="008616AC" w:rsidRDefault="00000000">
      <w:pPr>
        <w:pStyle w:val="ListParagraph"/>
        <w:numPr>
          <w:ilvl w:val="0"/>
          <w:numId w:val="2"/>
        </w:numPr>
        <w:spacing w:after="90" w:line="290" w:lineRule="auto"/>
      </w:pPr>
      <w:r>
        <w:rPr>
          <w:color w:val="1A1A1A"/>
          <w:sz w:val="22"/>
          <w:szCs w:val="22"/>
        </w:rPr>
        <w:t>Real-time prescription status tracking (issued, verified, dispensed).</w:t>
      </w:r>
    </w:p>
    <w:p w14:paraId="0054DD27" w14:textId="77777777" w:rsidR="008616AC" w:rsidRDefault="00000000">
      <w:pPr>
        <w:pStyle w:val="ListParagraph"/>
        <w:numPr>
          <w:ilvl w:val="0"/>
          <w:numId w:val="2"/>
        </w:numPr>
        <w:spacing w:after="90" w:line="290" w:lineRule="auto"/>
      </w:pPr>
      <w:r>
        <w:rPr>
          <w:color w:val="1A1A1A"/>
          <w:sz w:val="22"/>
          <w:szCs w:val="22"/>
        </w:rPr>
        <w:t>Automated notifications via SMS/email/app push for prescription updates and refill reminders.</w:t>
      </w:r>
    </w:p>
    <w:p w14:paraId="52B4D684" w14:textId="77777777" w:rsidR="008616AC" w:rsidRDefault="00000000">
      <w:pPr>
        <w:pStyle w:val="ListParagraph"/>
        <w:numPr>
          <w:ilvl w:val="0"/>
          <w:numId w:val="2"/>
        </w:numPr>
        <w:spacing w:after="90" w:line="290" w:lineRule="auto"/>
      </w:pPr>
      <w:r>
        <w:rPr>
          <w:color w:val="1A1A1A"/>
          <w:sz w:val="22"/>
          <w:szCs w:val="22"/>
        </w:rPr>
        <w:t>Search and retrieval of patient medical and prescription history.</w:t>
      </w:r>
    </w:p>
    <w:p w14:paraId="7E966C61" w14:textId="77777777" w:rsidR="008616AC" w:rsidRDefault="00000000">
      <w:pPr>
        <w:pStyle w:val="ListParagraph"/>
        <w:numPr>
          <w:ilvl w:val="0"/>
          <w:numId w:val="2"/>
        </w:numPr>
        <w:spacing w:after="90" w:line="290" w:lineRule="auto"/>
      </w:pPr>
      <w:r>
        <w:rPr>
          <w:color w:val="1A1A1A"/>
          <w:sz w:val="22"/>
          <w:szCs w:val="22"/>
        </w:rPr>
        <w:t>Pharmacy-side inventory check and fulfilment confirmation.</w:t>
      </w:r>
    </w:p>
    <w:p w14:paraId="6BC8B913" w14:textId="77777777" w:rsidR="008616AC" w:rsidRDefault="00000000">
      <w:pPr>
        <w:spacing w:before="220" w:after="120"/>
      </w:pPr>
      <w:r>
        <w:rPr>
          <w:b/>
          <w:bCs/>
          <w:color w:val="0F7C82"/>
          <w:sz w:val="24"/>
          <w:szCs w:val="24"/>
        </w:rPr>
        <w:t>1.4 Non-Functional Requirements</w:t>
      </w:r>
    </w:p>
    <w:p w14:paraId="0E710737" w14:textId="77777777" w:rsidR="008616AC" w:rsidRDefault="00000000">
      <w:pPr>
        <w:pStyle w:val="ListParagraph"/>
        <w:numPr>
          <w:ilvl w:val="0"/>
          <w:numId w:val="2"/>
        </w:numPr>
        <w:spacing w:after="90" w:line="290" w:lineRule="auto"/>
      </w:pPr>
      <w:r>
        <w:rPr>
          <w:color w:val="1A1A1A"/>
          <w:sz w:val="22"/>
          <w:szCs w:val="22"/>
        </w:rPr>
        <w:t>Security: End-to-end encryption of patient health data, in compliance with data protection norms (e.g., HIPAA-equivalent practices).</w:t>
      </w:r>
    </w:p>
    <w:p w14:paraId="212E7F75" w14:textId="77777777" w:rsidR="008616AC" w:rsidRDefault="00000000">
      <w:pPr>
        <w:pStyle w:val="ListParagraph"/>
        <w:numPr>
          <w:ilvl w:val="0"/>
          <w:numId w:val="2"/>
        </w:numPr>
        <w:spacing w:after="90" w:line="290" w:lineRule="auto"/>
      </w:pPr>
      <w:r>
        <w:rPr>
          <w:color w:val="1A1A1A"/>
          <w:sz w:val="22"/>
          <w:szCs w:val="22"/>
        </w:rPr>
        <w:t>Scalability: Support a growing number of concurrent users across hospitals and pharmacy chains.</w:t>
      </w:r>
    </w:p>
    <w:p w14:paraId="0FDC6102" w14:textId="77777777" w:rsidR="008616AC" w:rsidRDefault="00000000">
      <w:pPr>
        <w:pStyle w:val="ListParagraph"/>
        <w:numPr>
          <w:ilvl w:val="0"/>
          <w:numId w:val="2"/>
        </w:numPr>
        <w:spacing w:after="90" w:line="290" w:lineRule="auto"/>
      </w:pPr>
      <w:r>
        <w:rPr>
          <w:color w:val="1A1A1A"/>
          <w:sz w:val="22"/>
          <w:szCs w:val="22"/>
        </w:rPr>
        <w:t>Availability: Near-continuous uptime, since prescription access can be safety-critical.</w:t>
      </w:r>
    </w:p>
    <w:p w14:paraId="1482315E" w14:textId="77777777" w:rsidR="008616AC" w:rsidRDefault="00000000">
      <w:pPr>
        <w:pStyle w:val="ListParagraph"/>
        <w:numPr>
          <w:ilvl w:val="0"/>
          <w:numId w:val="2"/>
        </w:numPr>
        <w:spacing w:after="90" w:line="290" w:lineRule="auto"/>
      </w:pPr>
      <w:r>
        <w:rPr>
          <w:color w:val="1A1A1A"/>
          <w:sz w:val="22"/>
          <w:szCs w:val="22"/>
        </w:rPr>
        <w:t>Performance: Low-latency response for prescription retrieval and notification dispatch.</w:t>
      </w:r>
    </w:p>
    <w:p w14:paraId="61AC99FF" w14:textId="77777777" w:rsidR="008616AC" w:rsidRDefault="00000000">
      <w:pPr>
        <w:pStyle w:val="ListParagraph"/>
        <w:numPr>
          <w:ilvl w:val="0"/>
          <w:numId w:val="2"/>
        </w:numPr>
        <w:spacing w:after="90" w:line="290" w:lineRule="auto"/>
      </w:pPr>
      <w:r>
        <w:rPr>
          <w:color w:val="1A1A1A"/>
          <w:sz w:val="22"/>
          <w:szCs w:val="22"/>
        </w:rPr>
        <w:t>Maintainability: Independent updates to individual services without full-system downtime.</w:t>
      </w:r>
    </w:p>
    <w:p w14:paraId="359CA3FA" w14:textId="77777777" w:rsidR="008616AC" w:rsidRDefault="00000000">
      <w:pPr>
        <w:pStyle w:val="ListParagraph"/>
        <w:numPr>
          <w:ilvl w:val="0"/>
          <w:numId w:val="2"/>
        </w:numPr>
        <w:spacing w:after="90" w:line="290" w:lineRule="auto"/>
      </w:pPr>
      <w:r>
        <w:rPr>
          <w:color w:val="1A1A1A"/>
          <w:sz w:val="22"/>
          <w:szCs w:val="22"/>
        </w:rPr>
        <w:t>Reliability: Consistent and accurate data across all connected services, even during partial failures.</w:t>
      </w:r>
    </w:p>
    <w:p w14:paraId="554B8D94" w14:textId="77777777" w:rsidR="008616AC" w:rsidRDefault="00000000">
      <w:pPr>
        <w:spacing w:before="220" w:after="120"/>
      </w:pPr>
      <w:r>
        <w:rPr>
          <w:b/>
          <w:bCs/>
          <w:color w:val="0F7C82"/>
          <w:sz w:val="24"/>
          <w:szCs w:val="24"/>
        </w:rPr>
        <w:t>1.5 Key Quality Attributes Influencing Architecture</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909"/>
        <w:gridCol w:w="6787"/>
      </w:tblGrid>
      <w:tr w:rsidR="008616AC" w14:paraId="437AA9EB" w14:textId="77777777">
        <w:tblPrEx>
          <w:tblCellMar>
            <w:top w:w="0" w:type="dxa"/>
            <w:bottom w:w="0" w:type="dxa"/>
          </w:tblCellMar>
        </w:tblPrEx>
        <w:tc>
          <w:tcPr>
            <w:tcW w:w="1500" w:type="pct"/>
            <w:shd w:val="clear" w:color="auto" w:fill="0B2545"/>
            <w:tcMar>
              <w:top w:w="100" w:type="dxa"/>
              <w:left w:w="150" w:type="dxa"/>
              <w:bottom w:w="100" w:type="dxa"/>
              <w:right w:w="150" w:type="dxa"/>
            </w:tcMar>
            <w:vAlign w:val="center"/>
          </w:tcPr>
          <w:p w14:paraId="4E8345D9" w14:textId="77777777" w:rsidR="008616AC" w:rsidRDefault="00000000">
            <w:r>
              <w:rPr>
                <w:b/>
                <w:bCs/>
                <w:color w:val="FFFFFF"/>
              </w:rPr>
              <w:t>Quality Attribute</w:t>
            </w:r>
          </w:p>
        </w:tc>
        <w:tc>
          <w:tcPr>
            <w:tcW w:w="3500" w:type="pct"/>
            <w:shd w:val="clear" w:color="auto" w:fill="0B2545"/>
            <w:tcMar>
              <w:top w:w="100" w:type="dxa"/>
              <w:left w:w="150" w:type="dxa"/>
              <w:bottom w:w="100" w:type="dxa"/>
              <w:right w:w="150" w:type="dxa"/>
            </w:tcMar>
            <w:vAlign w:val="center"/>
          </w:tcPr>
          <w:p w14:paraId="1D1B82EE" w14:textId="77777777" w:rsidR="008616AC" w:rsidRDefault="00000000">
            <w:r>
              <w:rPr>
                <w:b/>
                <w:bCs/>
                <w:color w:val="FFFFFF"/>
              </w:rPr>
              <w:t xml:space="preserve">Why It Matters for </w:t>
            </w:r>
            <w:proofErr w:type="spellStart"/>
            <w:r>
              <w:rPr>
                <w:b/>
                <w:bCs/>
                <w:color w:val="FFFFFF"/>
              </w:rPr>
              <w:t>MediVault</w:t>
            </w:r>
            <w:proofErr w:type="spellEnd"/>
          </w:p>
        </w:tc>
      </w:tr>
      <w:tr w:rsidR="008616AC" w14:paraId="00A0E3F5" w14:textId="77777777">
        <w:tblPrEx>
          <w:tblCellMar>
            <w:top w:w="0" w:type="dxa"/>
            <w:bottom w:w="0" w:type="dxa"/>
          </w:tblCellMar>
        </w:tblPrEx>
        <w:tc>
          <w:tcPr>
            <w:tcW w:w="1500" w:type="pct"/>
            <w:shd w:val="clear" w:color="auto" w:fill="E6F4F4"/>
            <w:tcMar>
              <w:top w:w="100" w:type="dxa"/>
              <w:left w:w="150" w:type="dxa"/>
              <w:bottom w:w="100" w:type="dxa"/>
              <w:right w:w="150" w:type="dxa"/>
            </w:tcMar>
            <w:vAlign w:val="center"/>
          </w:tcPr>
          <w:p w14:paraId="53D584D2" w14:textId="77777777" w:rsidR="008616AC" w:rsidRDefault="00000000">
            <w:r>
              <w:rPr>
                <w:b/>
                <w:bCs/>
                <w:color w:val="1A1A1A"/>
              </w:rPr>
              <w:t>Scalability</w:t>
            </w:r>
          </w:p>
        </w:tc>
        <w:tc>
          <w:tcPr>
            <w:tcW w:w="3500" w:type="pct"/>
            <w:tcMar>
              <w:top w:w="100" w:type="dxa"/>
              <w:left w:w="150" w:type="dxa"/>
              <w:bottom w:w="100" w:type="dxa"/>
              <w:right w:w="150" w:type="dxa"/>
            </w:tcMar>
            <w:vAlign w:val="center"/>
          </w:tcPr>
          <w:p w14:paraId="41554E12" w14:textId="77777777" w:rsidR="008616AC" w:rsidRDefault="00000000">
            <w:r>
              <w:rPr>
                <w:color w:val="1A1A1A"/>
              </w:rPr>
              <w:t>Handles growth in patients, doctors, and pharmacy partners without redesign.</w:t>
            </w:r>
          </w:p>
        </w:tc>
      </w:tr>
      <w:tr w:rsidR="008616AC" w14:paraId="71630F37" w14:textId="77777777">
        <w:tblPrEx>
          <w:tblCellMar>
            <w:top w:w="0" w:type="dxa"/>
            <w:bottom w:w="0" w:type="dxa"/>
          </w:tblCellMar>
        </w:tblPrEx>
        <w:tc>
          <w:tcPr>
            <w:tcW w:w="1500" w:type="pct"/>
            <w:shd w:val="clear" w:color="auto" w:fill="E6F4F4"/>
            <w:tcMar>
              <w:top w:w="100" w:type="dxa"/>
              <w:left w:w="150" w:type="dxa"/>
              <w:bottom w:w="100" w:type="dxa"/>
              <w:right w:w="150" w:type="dxa"/>
            </w:tcMar>
            <w:vAlign w:val="center"/>
          </w:tcPr>
          <w:p w14:paraId="3755D232" w14:textId="77777777" w:rsidR="008616AC" w:rsidRDefault="00000000">
            <w:r>
              <w:rPr>
                <w:b/>
                <w:bCs/>
                <w:color w:val="1A1A1A"/>
              </w:rPr>
              <w:t>Security</w:t>
            </w:r>
          </w:p>
        </w:tc>
        <w:tc>
          <w:tcPr>
            <w:tcW w:w="3500" w:type="pct"/>
            <w:tcMar>
              <w:top w:w="100" w:type="dxa"/>
              <w:left w:w="150" w:type="dxa"/>
              <w:bottom w:w="100" w:type="dxa"/>
              <w:right w:w="150" w:type="dxa"/>
            </w:tcMar>
            <w:vAlign w:val="center"/>
          </w:tcPr>
          <w:p w14:paraId="726D97BC" w14:textId="77777777" w:rsidR="008616AC" w:rsidRDefault="00000000">
            <w:r>
              <w:rPr>
                <w:color w:val="1A1A1A"/>
              </w:rPr>
              <w:t>Protects sensitive patient health records and prescription data.</w:t>
            </w:r>
          </w:p>
        </w:tc>
      </w:tr>
      <w:tr w:rsidR="008616AC" w14:paraId="49BC59A3" w14:textId="77777777">
        <w:tblPrEx>
          <w:tblCellMar>
            <w:top w:w="0" w:type="dxa"/>
            <w:bottom w:w="0" w:type="dxa"/>
          </w:tblCellMar>
        </w:tblPrEx>
        <w:tc>
          <w:tcPr>
            <w:tcW w:w="1500" w:type="pct"/>
            <w:shd w:val="clear" w:color="auto" w:fill="E6F4F4"/>
            <w:tcMar>
              <w:top w:w="100" w:type="dxa"/>
              <w:left w:w="150" w:type="dxa"/>
              <w:bottom w:w="100" w:type="dxa"/>
              <w:right w:w="150" w:type="dxa"/>
            </w:tcMar>
            <w:vAlign w:val="center"/>
          </w:tcPr>
          <w:p w14:paraId="004B9E01" w14:textId="77777777" w:rsidR="008616AC" w:rsidRDefault="00000000">
            <w:r>
              <w:rPr>
                <w:b/>
                <w:bCs/>
                <w:color w:val="1A1A1A"/>
              </w:rPr>
              <w:t>Reliability</w:t>
            </w:r>
          </w:p>
        </w:tc>
        <w:tc>
          <w:tcPr>
            <w:tcW w:w="3500" w:type="pct"/>
            <w:tcMar>
              <w:top w:w="100" w:type="dxa"/>
              <w:left w:w="150" w:type="dxa"/>
              <w:bottom w:w="100" w:type="dxa"/>
              <w:right w:w="150" w:type="dxa"/>
            </w:tcMar>
            <w:vAlign w:val="center"/>
          </w:tcPr>
          <w:p w14:paraId="6FF94AED" w14:textId="77777777" w:rsidR="008616AC" w:rsidRDefault="00000000">
            <w:r>
              <w:rPr>
                <w:color w:val="1A1A1A"/>
              </w:rPr>
              <w:t>Ensures prescription data is never lost or corrupted.</w:t>
            </w:r>
          </w:p>
        </w:tc>
      </w:tr>
      <w:tr w:rsidR="008616AC" w14:paraId="6BACDBD7" w14:textId="77777777">
        <w:tblPrEx>
          <w:tblCellMar>
            <w:top w:w="0" w:type="dxa"/>
            <w:bottom w:w="0" w:type="dxa"/>
          </w:tblCellMar>
        </w:tblPrEx>
        <w:tc>
          <w:tcPr>
            <w:tcW w:w="1500" w:type="pct"/>
            <w:shd w:val="clear" w:color="auto" w:fill="E6F4F4"/>
            <w:tcMar>
              <w:top w:w="100" w:type="dxa"/>
              <w:left w:w="150" w:type="dxa"/>
              <w:bottom w:w="100" w:type="dxa"/>
              <w:right w:w="150" w:type="dxa"/>
            </w:tcMar>
            <w:vAlign w:val="center"/>
          </w:tcPr>
          <w:p w14:paraId="59C7ADE3" w14:textId="77777777" w:rsidR="008616AC" w:rsidRDefault="00000000">
            <w:r>
              <w:rPr>
                <w:b/>
                <w:bCs/>
                <w:color w:val="1A1A1A"/>
              </w:rPr>
              <w:t>Availability</w:t>
            </w:r>
          </w:p>
        </w:tc>
        <w:tc>
          <w:tcPr>
            <w:tcW w:w="3500" w:type="pct"/>
            <w:tcMar>
              <w:top w:w="100" w:type="dxa"/>
              <w:left w:w="150" w:type="dxa"/>
              <w:bottom w:w="100" w:type="dxa"/>
              <w:right w:w="150" w:type="dxa"/>
            </w:tcMar>
            <w:vAlign w:val="center"/>
          </w:tcPr>
          <w:p w14:paraId="5C66B7FA" w14:textId="77777777" w:rsidR="008616AC" w:rsidRDefault="00000000">
            <w:r>
              <w:rPr>
                <w:color w:val="1A1A1A"/>
              </w:rPr>
              <w:t>Prescription access must remain available, including during peak load.</w:t>
            </w:r>
          </w:p>
        </w:tc>
      </w:tr>
      <w:tr w:rsidR="008616AC" w14:paraId="005DA972" w14:textId="77777777">
        <w:tblPrEx>
          <w:tblCellMar>
            <w:top w:w="0" w:type="dxa"/>
            <w:bottom w:w="0" w:type="dxa"/>
          </w:tblCellMar>
        </w:tblPrEx>
        <w:tc>
          <w:tcPr>
            <w:tcW w:w="1500" w:type="pct"/>
            <w:shd w:val="clear" w:color="auto" w:fill="E6F4F4"/>
            <w:tcMar>
              <w:top w:w="100" w:type="dxa"/>
              <w:left w:w="150" w:type="dxa"/>
              <w:bottom w:w="100" w:type="dxa"/>
              <w:right w:w="150" w:type="dxa"/>
            </w:tcMar>
            <w:vAlign w:val="center"/>
          </w:tcPr>
          <w:p w14:paraId="617AC821" w14:textId="77777777" w:rsidR="008616AC" w:rsidRDefault="00000000">
            <w:r>
              <w:rPr>
                <w:b/>
                <w:bCs/>
                <w:color w:val="1A1A1A"/>
              </w:rPr>
              <w:t>Performance</w:t>
            </w:r>
          </w:p>
        </w:tc>
        <w:tc>
          <w:tcPr>
            <w:tcW w:w="3500" w:type="pct"/>
            <w:tcMar>
              <w:top w:w="100" w:type="dxa"/>
              <w:left w:w="150" w:type="dxa"/>
              <w:bottom w:w="100" w:type="dxa"/>
              <w:right w:w="150" w:type="dxa"/>
            </w:tcMar>
            <w:vAlign w:val="center"/>
          </w:tcPr>
          <w:p w14:paraId="3E5C9219" w14:textId="77777777" w:rsidR="008616AC" w:rsidRDefault="00000000">
            <w:r>
              <w:rPr>
                <w:color w:val="1A1A1A"/>
              </w:rPr>
              <w:t>Fast issuance and retrieval of prescriptions, especially in urgent care.</w:t>
            </w:r>
          </w:p>
        </w:tc>
      </w:tr>
      <w:tr w:rsidR="008616AC" w14:paraId="76BD1A3C" w14:textId="77777777">
        <w:tblPrEx>
          <w:tblCellMar>
            <w:top w:w="0" w:type="dxa"/>
            <w:bottom w:w="0" w:type="dxa"/>
          </w:tblCellMar>
        </w:tblPrEx>
        <w:tc>
          <w:tcPr>
            <w:tcW w:w="1500" w:type="pct"/>
            <w:shd w:val="clear" w:color="auto" w:fill="E6F4F4"/>
            <w:tcMar>
              <w:top w:w="100" w:type="dxa"/>
              <w:left w:w="150" w:type="dxa"/>
              <w:bottom w:w="100" w:type="dxa"/>
              <w:right w:w="150" w:type="dxa"/>
            </w:tcMar>
            <w:vAlign w:val="center"/>
          </w:tcPr>
          <w:p w14:paraId="243A1E28" w14:textId="77777777" w:rsidR="008616AC" w:rsidRDefault="00000000">
            <w:r>
              <w:rPr>
                <w:b/>
                <w:bCs/>
                <w:color w:val="1A1A1A"/>
              </w:rPr>
              <w:t>Maintainability</w:t>
            </w:r>
          </w:p>
        </w:tc>
        <w:tc>
          <w:tcPr>
            <w:tcW w:w="3500" w:type="pct"/>
            <w:tcMar>
              <w:top w:w="100" w:type="dxa"/>
              <w:left w:w="150" w:type="dxa"/>
              <w:bottom w:w="100" w:type="dxa"/>
              <w:right w:w="150" w:type="dxa"/>
            </w:tcMar>
            <w:vAlign w:val="center"/>
          </w:tcPr>
          <w:p w14:paraId="64A3B0A8" w14:textId="77777777" w:rsidR="008616AC" w:rsidRDefault="00000000">
            <w:r>
              <w:rPr>
                <w:color w:val="1A1A1A"/>
              </w:rPr>
              <w:t>Individual modules (e.g., notifications) can evolve independently.</w:t>
            </w:r>
          </w:p>
        </w:tc>
      </w:tr>
    </w:tbl>
    <w:p w14:paraId="4FA45DA4" w14:textId="77777777" w:rsidR="008616AC" w:rsidRDefault="00000000">
      <w:r>
        <w:br w:type="page"/>
      </w:r>
    </w:p>
    <w:p w14:paraId="6FA94181" w14:textId="77777777" w:rsidR="008616AC" w:rsidRDefault="00000000">
      <w:pPr>
        <w:pStyle w:val="Heading1"/>
        <w:spacing w:before="320" w:after="160"/>
      </w:pPr>
      <w:r>
        <w:rPr>
          <w:b/>
          <w:bCs/>
          <w:color w:val="0B2545"/>
        </w:rPr>
        <w:lastRenderedPageBreak/>
        <w:t>2. Selected Software Architecture</w:t>
      </w:r>
    </w:p>
    <w:p w14:paraId="4B42E567" w14:textId="77777777" w:rsidR="008616AC" w:rsidRDefault="00000000">
      <w:pPr>
        <w:spacing w:before="220" w:after="120"/>
      </w:pPr>
      <w:r>
        <w:rPr>
          <w:b/>
          <w:bCs/>
          <w:color w:val="0F7C82"/>
          <w:sz w:val="24"/>
          <w:szCs w:val="24"/>
        </w:rPr>
        <w:t>2.1 Chosen Architectural Style: Layered Architecture combined with Microservices (Hybrid)</w:t>
      </w:r>
    </w:p>
    <w:p w14:paraId="60677DDA" w14:textId="77777777" w:rsidR="008616AC" w:rsidRDefault="00000000">
      <w:pPr>
        <w:spacing w:after="140" w:line="300" w:lineRule="auto"/>
      </w:pPr>
      <w:proofErr w:type="spellStart"/>
      <w:r>
        <w:rPr>
          <w:color w:val="1A1A1A"/>
          <w:sz w:val="22"/>
          <w:szCs w:val="22"/>
        </w:rPr>
        <w:t>MediVault</w:t>
      </w:r>
      <w:proofErr w:type="spellEnd"/>
      <w:r>
        <w:rPr>
          <w:color w:val="1A1A1A"/>
          <w:sz w:val="22"/>
          <w:szCs w:val="22"/>
        </w:rPr>
        <w:t xml:space="preserve"> adopts a hybrid architecture: a layered structure (Client Layer, API Gateway/Security Layer, Service Layer, Data Layer, External Integration Layer) at the macro level, with the Service Layer internally implemented as independent microservices (Patient Records, Prescription Management, Pharmacy Integration, Notification, and Audit/Logging).</w:t>
      </w:r>
    </w:p>
    <w:p w14:paraId="7D540170" w14:textId="77777777" w:rsidR="008616AC" w:rsidRDefault="00000000">
      <w:pPr>
        <w:spacing w:before="220" w:after="120"/>
      </w:pPr>
      <w:r>
        <w:rPr>
          <w:b/>
          <w:bCs/>
          <w:color w:val="0F7C82"/>
          <w:sz w:val="24"/>
          <w:szCs w:val="24"/>
        </w:rPr>
        <w:t>2.2 Justification</w:t>
      </w:r>
    </w:p>
    <w:p w14:paraId="1AC81F73" w14:textId="77777777" w:rsidR="008616AC" w:rsidRDefault="00000000">
      <w:pPr>
        <w:pStyle w:val="ListParagraph"/>
        <w:numPr>
          <w:ilvl w:val="0"/>
          <w:numId w:val="2"/>
        </w:numPr>
        <w:spacing w:after="90" w:line="290" w:lineRule="auto"/>
      </w:pPr>
      <w:r>
        <w:rPr>
          <w:color w:val="1A1A1A"/>
          <w:sz w:val="22"/>
          <w:szCs w:val="22"/>
        </w:rPr>
        <w:t>Separation of concerns: The layered structure keeps presentation, security, business logic, and data storage cleanly separated, which simplifies reasoning about the system and onboarding new developers.</w:t>
      </w:r>
    </w:p>
    <w:p w14:paraId="0A6B38B3" w14:textId="77777777" w:rsidR="008616AC" w:rsidRDefault="00000000">
      <w:pPr>
        <w:pStyle w:val="ListParagraph"/>
        <w:numPr>
          <w:ilvl w:val="0"/>
          <w:numId w:val="2"/>
        </w:numPr>
        <w:spacing w:after="90" w:line="290" w:lineRule="auto"/>
      </w:pPr>
      <w:r>
        <w:rPr>
          <w:color w:val="1A1A1A"/>
          <w:sz w:val="22"/>
          <w:szCs w:val="22"/>
        </w:rPr>
        <w:t>Independent scalability: Microservices allow high-demand services (e.g., Notification Service during peak refill reminders) to scale independently of low-demand ones (e.g., Audit Service).</w:t>
      </w:r>
    </w:p>
    <w:p w14:paraId="4E6AEE2A" w14:textId="77777777" w:rsidR="008616AC" w:rsidRDefault="00000000">
      <w:pPr>
        <w:pStyle w:val="ListParagraph"/>
        <w:numPr>
          <w:ilvl w:val="0"/>
          <w:numId w:val="2"/>
        </w:numPr>
        <w:spacing w:after="90" w:line="290" w:lineRule="auto"/>
      </w:pPr>
      <w:r>
        <w:rPr>
          <w:color w:val="1A1A1A"/>
          <w:sz w:val="22"/>
          <w:szCs w:val="22"/>
        </w:rPr>
        <w:t>Fault isolation: A failure in one microservice (e.g., Pharmacy Integration Service, if a third-party pharmacy API is down) does not bring down the entire platform.</w:t>
      </w:r>
    </w:p>
    <w:p w14:paraId="773F9181" w14:textId="77777777" w:rsidR="008616AC" w:rsidRDefault="00000000">
      <w:pPr>
        <w:pStyle w:val="ListParagraph"/>
        <w:numPr>
          <w:ilvl w:val="0"/>
          <w:numId w:val="2"/>
        </w:numPr>
        <w:spacing w:after="90" w:line="290" w:lineRule="auto"/>
      </w:pPr>
      <w:r>
        <w:rPr>
          <w:color w:val="1A1A1A"/>
          <w:sz w:val="22"/>
          <w:szCs w:val="22"/>
        </w:rPr>
        <w:t>Security-critical layering: Placing Auth and TLS/WAF at a dedicated gateway layer ensures every request is authenticated and inspected before it reaches business logic — essential for healthcare data.</w:t>
      </w:r>
    </w:p>
    <w:p w14:paraId="5CBDF04E" w14:textId="77777777" w:rsidR="008616AC" w:rsidRDefault="00000000">
      <w:pPr>
        <w:pStyle w:val="ListParagraph"/>
        <w:numPr>
          <w:ilvl w:val="0"/>
          <w:numId w:val="2"/>
        </w:numPr>
        <w:spacing w:after="90" w:line="290" w:lineRule="auto"/>
      </w:pPr>
      <w:r>
        <w:rPr>
          <w:color w:val="1A1A1A"/>
          <w:sz w:val="22"/>
          <w:szCs w:val="22"/>
        </w:rPr>
        <w:t>Extensibility: New services (e.g., a future Insurance Claims Service) can be added without redesigning existing components.</w:t>
      </w:r>
    </w:p>
    <w:p w14:paraId="7DB8D6A5" w14:textId="77777777" w:rsidR="008616AC" w:rsidRDefault="00000000">
      <w:pPr>
        <w:spacing w:after="140" w:line="300" w:lineRule="auto"/>
      </w:pPr>
      <w:r>
        <w:rPr>
          <w:color w:val="1A1A1A"/>
          <w:sz w:val="22"/>
          <w:szCs w:val="22"/>
        </w:rPr>
        <w:t>A pure monolithic architecture was considered but rejected, since it would tightly couple patient records, prescriptions, and notifications, making independent scaling and safe incremental deployment difficult in a healthcare context where downtime and data errors carry high risk.</w:t>
      </w:r>
    </w:p>
    <w:p w14:paraId="370F70E0" w14:textId="77777777" w:rsidR="008616AC" w:rsidRDefault="00000000">
      <w:pPr>
        <w:pStyle w:val="Heading1"/>
        <w:spacing w:before="320" w:after="160"/>
      </w:pPr>
      <w:r>
        <w:rPr>
          <w:b/>
          <w:bCs/>
          <w:color w:val="0B2545"/>
        </w:rPr>
        <w:t>3. Software Architecture Diagram</w:t>
      </w:r>
    </w:p>
    <w:p w14:paraId="666A21CE" w14:textId="77777777" w:rsidR="008616AC" w:rsidRDefault="00000000">
      <w:pPr>
        <w:spacing w:after="140" w:line="300" w:lineRule="auto"/>
      </w:pPr>
      <w:r>
        <w:rPr>
          <w:color w:val="1A1A1A"/>
          <w:sz w:val="22"/>
          <w:szCs w:val="22"/>
        </w:rPr>
        <w:t xml:space="preserve">The diagram below illustrates the complete system structure of </w:t>
      </w:r>
      <w:proofErr w:type="spellStart"/>
      <w:r>
        <w:rPr>
          <w:color w:val="1A1A1A"/>
          <w:sz w:val="22"/>
          <w:szCs w:val="22"/>
        </w:rPr>
        <w:t>MediVault</w:t>
      </w:r>
      <w:proofErr w:type="spellEnd"/>
      <w:r>
        <w:rPr>
          <w:color w:val="1A1A1A"/>
          <w:sz w:val="22"/>
          <w:szCs w:val="22"/>
        </w:rPr>
        <w:t>, including all layers, components, databases, external systems, and communication mechanisms.</w:t>
      </w:r>
    </w:p>
    <w:p w14:paraId="109FD346" w14:textId="77777777" w:rsidR="008616AC" w:rsidRDefault="00000000">
      <w:pPr>
        <w:spacing w:before="120" w:after="120"/>
        <w:jc w:val="center"/>
      </w:pPr>
      <w:r>
        <w:rPr>
          <w:noProof/>
        </w:rPr>
        <w:lastRenderedPageBreak/>
        <w:drawing>
          <wp:inline distT="0" distB="0" distL="0" distR="0" wp14:anchorId="6D7BA0E7" wp14:editId="3AD89DD4">
            <wp:extent cx="6000750" cy="4391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00750" cy="4391025"/>
                    </a:xfrm>
                    <a:prstGeom prst="rect">
                      <a:avLst/>
                    </a:prstGeom>
                  </pic:spPr>
                </pic:pic>
              </a:graphicData>
            </a:graphic>
          </wp:inline>
        </w:drawing>
      </w:r>
    </w:p>
    <w:p w14:paraId="5E78EC6F" w14:textId="77777777" w:rsidR="008616AC" w:rsidRDefault="00000000">
      <w:pPr>
        <w:spacing w:after="200"/>
        <w:jc w:val="center"/>
      </w:pPr>
      <w:r>
        <w:rPr>
          <w:i/>
          <w:iCs/>
          <w:color w:val="0F7C82"/>
          <w:sz w:val="18"/>
          <w:szCs w:val="18"/>
        </w:rPr>
        <w:t xml:space="preserve">Figure 1: </w:t>
      </w:r>
      <w:proofErr w:type="spellStart"/>
      <w:r>
        <w:rPr>
          <w:i/>
          <w:iCs/>
          <w:color w:val="0F7C82"/>
          <w:sz w:val="18"/>
          <w:szCs w:val="18"/>
        </w:rPr>
        <w:t>MediVault</w:t>
      </w:r>
      <w:proofErr w:type="spellEnd"/>
      <w:r>
        <w:rPr>
          <w:i/>
          <w:iCs/>
          <w:color w:val="0F7C82"/>
          <w:sz w:val="18"/>
          <w:szCs w:val="18"/>
        </w:rPr>
        <w:t xml:space="preserve"> Layered Microservices Architecture</w:t>
      </w:r>
    </w:p>
    <w:p w14:paraId="60134D84" w14:textId="77777777" w:rsidR="008616AC" w:rsidRDefault="00000000">
      <w:r>
        <w:br w:type="page"/>
      </w:r>
    </w:p>
    <w:p w14:paraId="5F91B012" w14:textId="77777777" w:rsidR="008616AC" w:rsidRDefault="00000000">
      <w:pPr>
        <w:pStyle w:val="Heading1"/>
        <w:spacing w:before="320" w:after="160"/>
      </w:pPr>
      <w:r>
        <w:rPr>
          <w:b/>
          <w:bCs/>
          <w:color w:val="0B2545"/>
        </w:rPr>
        <w:lastRenderedPageBreak/>
        <w:t>4. Components and Their Interactions</w:t>
      </w:r>
    </w:p>
    <w:p w14:paraId="731C8AB0" w14:textId="77777777" w:rsidR="008616AC" w:rsidRDefault="00000000">
      <w:pPr>
        <w:spacing w:before="220" w:after="120"/>
      </w:pPr>
      <w:r>
        <w:rPr>
          <w:b/>
          <w:bCs/>
          <w:color w:val="0F7C82"/>
          <w:sz w:val="24"/>
          <w:szCs w:val="24"/>
        </w:rPr>
        <w:t>4.1 Component Responsibilities</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394"/>
        <w:gridCol w:w="6302"/>
      </w:tblGrid>
      <w:tr w:rsidR="008616AC" w14:paraId="5CCD2818" w14:textId="77777777">
        <w:tblPrEx>
          <w:tblCellMar>
            <w:top w:w="0" w:type="dxa"/>
            <w:bottom w:w="0" w:type="dxa"/>
          </w:tblCellMar>
        </w:tblPrEx>
        <w:tc>
          <w:tcPr>
            <w:tcW w:w="1750" w:type="pct"/>
            <w:shd w:val="clear" w:color="auto" w:fill="0B2545"/>
            <w:tcMar>
              <w:top w:w="100" w:type="dxa"/>
              <w:left w:w="150" w:type="dxa"/>
              <w:bottom w:w="100" w:type="dxa"/>
              <w:right w:w="150" w:type="dxa"/>
            </w:tcMar>
            <w:vAlign w:val="center"/>
          </w:tcPr>
          <w:p w14:paraId="29016E36" w14:textId="77777777" w:rsidR="008616AC" w:rsidRDefault="00000000">
            <w:r>
              <w:rPr>
                <w:b/>
                <w:bCs/>
                <w:color w:val="FFFFFF"/>
              </w:rPr>
              <w:t>Component</w:t>
            </w:r>
          </w:p>
        </w:tc>
        <w:tc>
          <w:tcPr>
            <w:tcW w:w="3250" w:type="pct"/>
            <w:shd w:val="clear" w:color="auto" w:fill="0B2545"/>
            <w:tcMar>
              <w:top w:w="100" w:type="dxa"/>
              <w:left w:w="150" w:type="dxa"/>
              <w:bottom w:w="100" w:type="dxa"/>
              <w:right w:w="150" w:type="dxa"/>
            </w:tcMar>
            <w:vAlign w:val="center"/>
          </w:tcPr>
          <w:p w14:paraId="36EDD33A" w14:textId="77777777" w:rsidR="008616AC" w:rsidRDefault="00000000">
            <w:r>
              <w:rPr>
                <w:b/>
                <w:bCs/>
                <w:color w:val="FFFFFF"/>
              </w:rPr>
              <w:t>Responsibility</w:t>
            </w:r>
          </w:p>
        </w:tc>
      </w:tr>
      <w:tr w:rsidR="008616AC" w14:paraId="542B3296" w14:textId="77777777">
        <w:tblPrEx>
          <w:tblCellMar>
            <w:top w:w="0" w:type="dxa"/>
            <w:bottom w:w="0" w:type="dxa"/>
          </w:tblCellMar>
        </w:tblPrEx>
        <w:tc>
          <w:tcPr>
            <w:tcW w:w="1750" w:type="pct"/>
            <w:shd w:val="clear" w:color="auto" w:fill="E6F4F4"/>
            <w:tcMar>
              <w:top w:w="100" w:type="dxa"/>
              <w:left w:w="150" w:type="dxa"/>
              <w:bottom w:w="100" w:type="dxa"/>
              <w:right w:w="150" w:type="dxa"/>
            </w:tcMar>
            <w:vAlign w:val="center"/>
          </w:tcPr>
          <w:p w14:paraId="4587FA42" w14:textId="77777777" w:rsidR="008616AC" w:rsidRDefault="00000000">
            <w:r>
              <w:rPr>
                <w:b/>
                <w:bCs/>
                <w:color w:val="1A1A1A"/>
              </w:rPr>
              <w:t>Client Apps (Patient/Doctor/Pharmacy)</w:t>
            </w:r>
          </w:p>
        </w:tc>
        <w:tc>
          <w:tcPr>
            <w:tcW w:w="3250" w:type="pct"/>
            <w:tcMar>
              <w:top w:w="100" w:type="dxa"/>
              <w:left w:w="150" w:type="dxa"/>
              <w:bottom w:w="100" w:type="dxa"/>
              <w:right w:w="150" w:type="dxa"/>
            </w:tcMar>
            <w:vAlign w:val="center"/>
          </w:tcPr>
          <w:p w14:paraId="0C989224" w14:textId="77777777" w:rsidR="008616AC" w:rsidRDefault="00000000">
            <w:r>
              <w:rPr>
                <w:color w:val="1A1A1A"/>
              </w:rPr>
              <w:t>Provide role-specific user interfaces for interacting with the system.</w:t>
            </w:r>
          </w:p>
        </w:tc>
      </w:tr>
      <w:tr w:rsidR="008616AC" w14:paraId="12D8E3C5" w14:textId="77777777">
        <w:tblPrEx>
          <w:tblCellMar>
            <w:top w:w="0" w:type="dxa"/>
            <w:bottom w:w="0" w:type="dxa"/>
          </w:tblCellMar>
        </w:tblPrEx>
        <w:tc>
          <w:tcPr>
            <w:tcW w:w="1750" w:type="pct"/>
            <w:shd w:val="clear" w:color="auto" w:fill="E6F4F4"/>
            <w:tcMar>
              <w:top w:w="100" w:type="dxa"/>
              <w:left w:w="150" w:type="dxa"/>
              <w:bottom w:w="100" w:type="dxa"/>
              <w:right w:w="150" w:type="dxa"/>
            </w:tcMar>
            <w:vAlign w:val="center"/>
          </w:tcPr>
          <w:p w14:paraId="18409796" w14:textId="77777777" w:rsidR="008616AC" w:rsidRDefault="00000000">
            <w:r>
              <w:rPr>
                <w:b/>
                <w:bCs/>
                <w:color w:val="1A1A1A"/>
              </w:rPr>
              <w:t>API Gateway</w:t>
            </w:r>
          </w:p>
        </w:tc>
        <w:tc>
          <w:tcPr>
            <w:tcW w:w="3250" w:type="pct"/>
            <w:tcMar>
              <w:top w:w="100" w:type="dxa"/>
              <w:left w:w="150" w:type="dxa"/>
              <w:bottom w:w="100" w:type="dxa"/>
              <w:right w:w="150" w:type="dxa"/>
            </w:tcMar>
            <w:vAlign w:val="center"/>
          </w:tcPr>
          <w:p w14:paraId="010408F9" w14:textId="77777777" w:rsidR="008616AC" w:rsidRDefault="00000000">
            <w:r>
              <w:rPr>
                <w:color w:val="1A1A1A"/>
              </w:rPr>
              <w:t>Single entry point; routes requests, applies rate limiting and load balancing.</w:t>
            </w:r>
          </w:p>
        </w:tc>
      </w:tr>
      <w:tr w:rsidR="008616AC" w14:paraId="70F4A550" w14:textId="77777777">
        <w:tblPrEx>
          <w:tblCellMar>
            <w:top w:w="0" w:type="dxa"/>
            <w:bottom w:w="0" w:type="dxa"/>
          </w:tblCellMar>
        </w:tblPrEx>
        <w:tc>
          <w:tcPr>
            <w:tcW w:w="1750" w:type="pct"/>
            <w:shd w:val="clear" w:color="auto" w:fill="E6F4F4"/>
            <w:tcMar>
              <w:top w:w="100" w:type="dxa"/>
              <w:left w:w="150" w:type="dxa"/>
              <w:bottom w:w="100" w:type="dxa"/>
              <w:right w:w="150" w:type="dxa"/>
            </w:tcMar>
            <w:vAlign w:val="center"/>
          </w:tcPr>
          <w:p w14:paraId="25A6AF98" w14:textId="77777777" w:rsidR="008616AC" w:rsidRDefault="00000000">
            <w:r>
              <w:rPr>
                <w:b/>
                <w:bCs/>
                <w:color w:val="1A1A1A"/>
              </w:rPr>
              <w:t>Auth Service</w:t>
            </w:r>
          </w:p>
        </w:tc>
        <w:tc>
          <w:tcPr>
            <w:tcW w:w="3250" w:type="pct"/>
            <w:tcMar>
              <w:top w:w="100" w:type="dxa"/>
              <w:left w:w="150" w:type="dxa"/>
              <w:bottom w:w="100" w:type="dxa"/>
              <w:right w:w="150" w:type="dxa"/>
            </w:tcMar>
            <w:vAlign w:val="center"/>
          </w:tcPr>
          <w:p w14:paraId="06AB33F3" w14:textId="77777777" w:rsidR="008616AC" w:rsidRDefault="00000000">
            <w:r>
              <w:rPr>
                <w:color w:val="1A1A1A"/>
              </w:rPr>
              <w:t>Handles authentication (OAuth2/JWT) and multi-factor authentication.</w:t>
            </w:r>
          </w:p>
        </w:tc>
      </w:tr>
      <w:tr w:rsidR="008616AC" w14:paraId="5B7C04E6" w14:textId="77777777">
        <w:tblPrEx>
          <w:tblCellMar>
            <w:top w:w="0" w:type="dxa"/>
            <w:bottom w:w="0" w:type="dxa"/>
          </w:tblCellMar>
        </w:tblPrEx>
        <w:tc>
          <w:tcPr>
            <w:tcW w:w="1750" w:type="pct"/>
            <w:shd w:val="clear" w:color="auto" w:fill="E6F4F4"/>
            <w:tcMar>
              <w:top w:w="100" w:type="dxa"/>
              <w:left w:w="150" w:type="dxa"/>
              <w:bottom w:w="100" w:type="dxa"/>
              <w:right w:w="150" w:type="dxa"/>
            </w:tcMar>
            <w:vAlign w:val="center"/>
          </w:tcPr>
          <w:p w14:paraId="7476E0D0" w14:textId="77777777" w:rsidR="008616AC" w:rsidRDefault="00000000">
            <w:r>
              <w:rPr>
                <w:b/>
                <w:bCs/>
                <w:color w:val="1A1A1A"/>
              </w:rPr>
              <w:t>TLS Termination &amp; WAF</w:t>
            </w:r>
          </w:p>
        </w:tc>
        <w:tc>
          <w:tcPr>
            <w:tcW w:w="3250" w:type="pct"/>
            <w:tcMar>
              <w:top w:w="100" w:type="dxa"/>
              <w:left w:w="150" w:type="dxa"/>
              <w:bottom w:w="100" w:type="dxa"/>
              <w:right w:w="150" w:type="dxa"/>
            </w:tcMar>
            <w:vAlign w:val="center"/>
          </w:tcPr>
          <w:p w14:paraId="0F9B7FA1" w14:textId="77777777" w:rsidR="008616AC" w:rsidRDefault="00000000">
            <w:r>
              <w:rPr>
                <w:color w:val="1A1A1A"/>
              </w:rPr>
              <w:t>Encrypts traffic and filters malicious requests at the network edge.</w:t>
            </w:r>
          </w:p>
        </w:tc>
      </w:tr>
      <w:tr w:rsidR="008616AC" w14:paraId="7F914C23" w14:textId="77777777">
        <w:tblPrEx>
          <w:tblCellMar>
            <w:top w:w="0" w:type="dxa"/>
            <w:bottom w:w="0" w:type="dxa"/>
          </w:tblCellMar>
        </w:tblPrEx>
        <w:tc>
          <w:tcPr>
            <w:tcW w:w="1750" w:type="pct"/>
            <w:shd w:val="clear" w:color="auto" w:fill="E6F4F4"/>
            <w:tcMar>
              <w:top w:w="100" w:type="dxa"/>
              <w:left w:w="150" w:type="dxa"/>
              <w:bottom w:w="100" w:type="dxa"/>
              <w:right w:w="150" w:type="dxa"/>
            </w:tcMar>
            <w:vAlign w:val="center"/>
          </w:tcPr>
          <w:p w14:paraId="3FD4DB59" w14:textId="77777777" w:rsidR="008616AC" w:rsidRDefault="00000000">
            <w:r>
              <w:rPr>
                <w:b/>
                <w:bCs/>
                <w:color w:val="1A1A1A"/>
              </w:rPr>
              <w:t>Patient Records Service</w:t>
            </w:r>
          </w:p>
        </w:tc>
        <w:tc>
          <w:tcPr>
            <w:tcW w:w="3250" w:type="pct"/>
            <w:tcMar>
              <w:top w:w="100" w:type="dxa"/>
              <w:left w:w="150" w:type="dxa"/>
              <w:bottom w:w="100" w:type="dxa"/>
              <w:right w:w="150" w:type="dxa"/>
            </w:tcMar>
            <w:vAlign w:val="center"/>
          </w:tcPr>
          <w:p w14:paraId="63EFBF78" w14:textId="77777777" w:rsidR="008616AC" w:rsidRDefault="00000000">
            <w:r>
              <w:rPr>
                <w:color w:val="1A1A1A"/>
              </w:rPr>
              <w:t>Manages patient profiles and medical history.</w:t>
            </w:r>
          </w:p>
        </w:tc>
      </w:tr>
      <w:tr w:rsidR="008616AC" w14:paraId="630052F7" w14:textId="77777777">
        <w:tblPrEx>
          <w:tblCellMar>
            <w:top w:w="0" w:type="dxa"/>
            <w:bottom w:w="0" w:type="dxa"/>
          </w:tblCellMar>
        </w:tblPrEx>
        <w:tc>
          <w:tcPr>
            <w:tcW w:w="1750" w:type="pct"/>
            <w:shd w:val="clear" w:color="auto" w:fill="E6F4F4"/>
            <w:tcMar>
              <w:top w:w="100" w:type="dxa"/>
              <w:left w:w="150" w:type="dxa"/>
              <w:bottom w:w="100" w:type="dxa"/>
              <w:right w:w="150" w:type="dxa"/>
            </w:tcMar>
            <w:vAlign w:val="center"/>
          </w:tcPr>
          <w:p w14:paraId="0422C9FD" w14:textId="77777777" w:rsidR="008616AC" w:rsidRDefault="00000000">
            <w:r>
              <w:rPr>
                <w:b/>
                <w:bCs/>
                <w:color w:val="1A1A1A"/>
              </w:rPr>
              <w:t>Prescription Management Service</w:t>
            </w:r>
          </w:p>
        </w:tc>
        <w:tc>
          <w:tcPr>
            <w:tcW w:w="3250" w:type="pct"/>
            <w:tcMar>
              <w:top w:w="100" w:type="dxa"/>
              <w:left w:w="150" w:type="dxa"/>
              <w:bottom w:w="100" w:type="dxa"/>
              <w:right w:w="150" w:type="dxa"/>
            </w:tcMar>
            <w:vAlign w:val="center"/>
          </w:tcPr>
          <w:p w14:paraId="45AB9858" w14:textId="77777777" w:rsidR="008616AC" w:rsidRDefault="00000000">
            <w:r>
              <w:rPr>
                <w:color w:val="1A1A1A"/>
              </w:rPr>
              <w:t>Handles prescription creation, updates, and status tracking.</w:t>
            </w:r>
          </w:p>
        </w:tc>
      </w:tr>
      <w:tr w:rsidR="008616AC" w14:paraId="5D78FB13" w14:textId="77777777">
        <w:tblPrEx>
          <w:tblCellMar>
            <w:top w:w="0" w:type="dxa"/>
            <w:bottom w:w="0" w:type="dxa"/>
          </w:tblCellMar>
        </w:tblPrEx>
        <w:tc>
          <w:tcPr>
            <w:tcW w:w="1750" w:type="pct"/>
            <w:shd w:val="clear" w:color="auto" w:fill="E6F4F4"/>
            <w:tcMar>
              <w:top w:w="100" w:type="dxa"/>
              <w:left w:w="150" w:type="dxa"/>
              <w:bottom w:w="100" w:type="dxa"/>
              <w:right w:w="150" w:type="dxa"/>
            </w:tcMar>
            <w:vAlign w:val="center"/>
          </w:tcPr>
          <w:p w14:paraId="1E7BB642" w14:textId="77777777" w:rsidR="008616AC" w:rsidRDefault="00000000">
            <w:r>
              <w:rPr>
                <w:b/>
                <w:bCs/>
                <w:color w:val="1A1A1A"/>
              </w:rPr>
              <w:t>Pharmacy Integration Service</w:t>
            </w:r>
          </w:p>
        </w:tc>
        <w:tc>
          <w:tcPr>
            <w:tcW w:w="3250" w:type="pct"/>
            <w:tcMar>
              <w:top w:w="100" w:type="dxa"/>
              <w:left w:w="150" w:type="dxa"/>
              <w:bottom w:w="100" w:type="dxa"/>
              <w:right w:w="150" w:type="dxa"/>
            </w:tcMar>
            <w:vAlign w:val="center"/>
          </w:tcPr>
          <w:p w14:paraId="0B0BC45E" w14:textId="77777777" w:rsidR="008616AC" w:rsidRDefault="00000000">
            <w:r>
              <w:rPr>
                <w:color w:val="1A1A1A"/>
              </w:rPr>
              <w:t>Communicates with external pharmacy systems for fulfilment.</w:t>
            </w:r>
          </w:p>
        </w:tc>
      </w:tr>
      <w:tr w:rsidR="008616AC" w14:paraId="4A6C88D5" w14:textId="77777777">
        <w:tblPrEx>
          <w:tblCellMar>
            <w:top w:w="0" w:type="dxa"/>
            <w:bottom w:w="0" w:type="dxa"/>
          </w:tblCellMar>
        </w:tblPrEx>
        <w:tc>
          <w:tcPr>
            <w:tcW w:w="1750" w:type="pct"/>
            <w:shd w:val="clear" w:color="auto" w:fill="E6F4F4"/>
            <w:tcMar>
              <w:top w:w="100" w:type="dxa"/>
              <w:left w:w="150" w:type="dxa"/>
              <w:bottom w:w="100" w:type="dxa"/>
              <w:right w:w="150" w:type="dxa"/>
            </w:tcMar>
            <w:vAlign w:val="center"/>
          </w:tcPr>
          <w:p w14:paraId="0544F933" w14:textId="77777777" w:rsidR="008616AC" w:rsidRDefault="00000000">
            <w:r>
              <w:rPr>
                <w:b/>
                <w:bCs/>
                <w:color w:val="1A1A1A"/>
              </w:rPr>
              <w:t>Notification Service</w:t>
            </w:r>
          </w:p>
        </w:tc>
        <w:tc>
          <w:tcPr>
            <w:tcW w:w="3250" w:type="pct"/>
            <w:tcMar>
              <w:top w:w="100" w:type="dxa"/>
              <w:left w:w="150" w:type="dxa"/>
              <w:bottom w:w="100" w:type="dxa"/>
              <w:right w:w="150" w:type="dxa"/>
            </w:tcMar>
            <w:vAlign w:val="center"/>
          </w:tcPr>
          <w:p w14:paraId="4218BF37" w14:textId="77777777" w:rsidR="008616AC" w:rsidRDefault="00000000">
            <w:r>
              <w:rPr>
                <w:color w:val="1A1A1A"/>
              </w:rPr>
              <w:t>Sends SMS/email/app notifications for prescription events.</w:t>
            </w:r>
          </w:p>
        </w:tc>
      </w:tr>
      <w:tr w:rsidR="008616AC" w14:paraId="0614479F" w14:textId="77777777">
        <w:tblPrEx>
          <w:tblCellMar>
            <w:top w:w="0" w:type="dxa"/>
            <w:bottom w:w="0" w:type="dxa"/>
          </w:tblCellMar>
        </w:tblPrEx>
        <w:tc>
          <w:tcPr>
            <w:tcW w:w="1750" w:type="pct"/>
            <w:shd w:val="clear" w:color="auto" w:fill="E6F4F4"/>
            <w:tcMar>
              <w:top w:w="100" w:type="dxa"/>
              <w:left w:w="150" w:type="dxa"/>
              <w:bottom w:w="100" w:type="dxa"/>
              <w:right w:w="150" w:type="dxa"/>
            </w:tcMar>
            <w:vAlign w:val="center"/>
          </w:tcPr>
          <w:p w14:paraId="40CA23C7" w14:textId="77777777" w:rsidR="008616AC" w:rsidRDefault="00000000">
            <w:r>
              <w:rPr>
                <w:b/>
                <w:bCs/>
                <w:color w:val="1A1A1A"/>
              </w:rPr>
              <w:t>Audit &amp; Logging Service</w:t>
            </w:r>
          </w:p>
        </w:tc>
        <w:tc>
          <w:tcPr>
            <w:tcW w:w="3250" w:type="pct"/>
            <w:tcMar>
              <w:top w:w="100" w:type="dxa"/>
              <w:left w:w="150" w:type="dxa"/>
              <w:bottom w:w="100" w:type="dxa"/>
              <w:right w:w="150" w:type="dxa"/>
            </w:tcMar>
            <w:vAlign w:val="center"/>
          </w:tcPr>
          <w:p w14:paraId="25CB5F50" w14:textId="77777777" w:rsidR="008616AC" w:rsidRDefault="00000000">
            <w:r>
              <w:rPr>
                <w:color w:val="1A1A1A"/>
              </w:rPr>
              <w:t>Records all critical actions for compliance and traceability.</w:t>
            </w:r>
          </w:p>
        </w:tc>
      </w:tr>
      <w:tr w:rsidR="008616AC" w14:paraId="237803A4" w14:textId="77777777">
        <w:tblPrEx>
          <w:tblCellMar>
            <w:top w:w="0" w:type="dxa"/>
            <w:bottom w:w="0" w:type="dxa"/>
          </w:tblCellMar>
        </w:tblPrEx>
        <w:tc>
          <w:tcPr>
            <w:tcW w:w="1750" w:type="pct"/>
            <w:shd w:val="clear" w:color="auto" w:fill="E6F4F4"/>
            <w:tcMar>
              <w:top w:w="100" w:type="dxa"/>
              <w:left w:w="150" w:type="dxa"/>
              <w:bottom w:w="100" w:type="dxa"/>
              <w:right w:w="150" w:type="dxa"/>
            </w:tcMar>
            <w:vAlign w:val="center"/>
          </w:tcPr>
          <w:p w14:paraId="530C6425" w14:textId="77777777" w:rsidR="008616AC" w:rsidRDefault="00000000">
            <w:r>
              <w:rPr>
                <w:b/>
                <w:bCs/>
                <w:color w:val="1A1A1A"/>
              </w:rPr>
              <w:t>PostgreSQL</w:t>
            </w:r>
          </w:p>
        </w:tc>
        <w:tc>
          <w:tcPr>
            <w:tcW w:w="3250" w:type="pct"/>
            <w:tcMar>
              <w:top w:w="100" w:type="dxa"/>
              <w:left w:w="150" w:type="dxa"/>
              <w:bottom w:w="100" w:type="dxa"/>
              <w:right w:w="150" w:type="dxa"/>
            </w:tcMar>
            <w:vAlign w:val="center"/>
          </w:tcPr>
          <w:p w14:paraId="1D6AC0ED" w14:textId="77777777" w:rsidR="008616AC" w:rsidRDefault="00000000">
            <w:r>
              <w:rPr>
                <w:color w:val="1A1A1A"/>
              </w:rPr>
              <w:t>Persists encrypted patient and prescription records.</w:t>
            </w:r>
          </w:p>
        </w:tc>
      </w:tr>
      <w:tr w:rsidR="008616AC" w14:paraId="46175A1E" w14:textId="77777777">
        <w:tblPrEx>
          <w:tblCellMar>
            <w:top w:w="0" w:type="dxa"/>
            <w:bottom w:w="0" w:type="dxa"/>
          </w:tblCellMar>
        </w:tblPrEx>
        <w:tc>
          <w:tcPr>
            <w:tcW w:w="1750" w:type="pct"/>
            <w:shd w:val="clear" w:color="auto" w:fill="E6F4F4"/>
            <w:tcMar>
              <w:top w:w="100" w:type="dxa"/>
              <w:left w:w="150" w:type="dxa"/>
              <w:bottom w:w="100" w:type="dxa"/>
              <w:right w:w="150" w:type="dxa"/>
            </w:tcMar>
            <w:vAlign w:val="center"/>
          </w:tcPr>
          <w:p w14:paraId="4E305F41" w14:textId="77777777" w:rsidR="008616AC" w:rsidRDefault="00000000">
            <w:r>
              <w:rPr>
                <w:b/>
                <w:bCs/>
                <w:color w:val="1A1A1A"/>
              </w:rPr>
              <w:t>Redis Cache</w:t>
            </w:r>
          </w:p>
        </w:tc>
        <w:tc>
          <w:tcPr>
            <w:tcW w:w="3250" w:type="pct"/>
            <w:tcMar>
              <w:top w:w="100" w:type="dxa"/>
              <w:left w:w="150" w:type="dxa"/>
              <w:bottom w:w="100" w:type="dxa"/>
              <w:right w:w="150" w:type="dxa"/>
            </w:tcMar>
            <w:vAlign w:val="center"/>
          </w:tcPr>
          <w:p w14:paraId="30C30EB1" w14:textId="77777777" w:rsidR="008616AC" w:rsidRDefault="00000000">
            <w:r>
              <w:rPr>
                <w:color w:val="1A1A1A"/>
              </w:rPr>
              <w:t>Stores sessions and tokens for fast authentication checks.</w:t>
            </w:r>
          </w:p>
        </w:tc>
      </w:tr>
      <w:tr w:rsidR="008616AC" w14:paraId="471D7E78" w14:textId="77777777">
        <w:tblPrEx>
          <w:tblCellMar>
            <w:top w:w="0" w:type="dxa"/>
            <w:bottom w:w="0" w:type="dxa"/>
          </w:tblCellMar>
        </w:tblPrEx>
        <w:tc>
          <w:tcPr>
            <w:tcW w:w="1750" w:type="pct"/>
            <w:shd w:val="clear" w:color="auto" w:fill="E6F4F4"/>
            <w:tcMar>
              <w:top w:w="100" w:type="dxa"/>
              <w:left w:w="150" w:type="dxa"/>
              <w:bottom w:w="100" w:type="dxa"/>
              <w:right w:w="150" w:type="dxa"/>
            </w:tcMar>
            <w:vAlign w:val="center"/>
          </w:tcPr>
          <w:p w14:paraId="08E9051F" w14:textId="77777777" w:rsidR="008616AC" w:rsidRDefault="00000000">
            <w:r>
              <w:rPr>
                <w:b/>
                <w:bCs/>
                <w:color w:val="1A1A1A"/>
              </w:rPr>
              <w:t>Cloud Object Storage</w:t>
            </w:r>
          </w:p>
        </w:tc>
        <w:tc>
          <w:tcPr>
            <w:tcW w:w="3250" w:type="pct"/>
            <w:tcMar>
              <w:top w:w="100" w:type="dxa"/>
              <w:left w:w="150" w:type="dxa"/>
              <w:bottom w:w="100" w:type="dxa"/>
              <w:right w:w="150" w:type="dxa"/>
            </w:tcMar>
            <w:vAlign w:val="center"/>
          </w:tcPr>
          <w:p w14:paraId="6E763007" w14:textId="77777777" w:rsidR="008616AC" w:rsidRDefault="00000000">
            <w:r>
              <w:rPr>
                <w:color w:val="1A1A1A"/>
              </w:rPr>
              <w:t>Stores scanned documents and generated reports.</w:t>
            </w:r>
          </w:p>
        </w:tc>
      </w:tr>
      <w:tr w:rsidR="008616AC" w14:paraId="310AEBC7" w14:textId="77777777">
        <w:tblPrEx>
          <w:tblCellMar>
            <w:top w:w="0" w:type="dxa"/>
            <w:bottom w:w="0" w:type="dxa"/>
          </w:tblCellMar>
        </w:tblPrEx>
        <w:tc>
          <w:tcPr>
            <w:tcW w:w="1750" w:type="pct"/>
            <w:shd w:val="clear" w:color="auto" w:fill="E6F4F4"/>
            <w:tcMar>
              <w:top w:w="100" w:type="dxa"/>
              <w:left w:w="150" w:type="dxa"/>
              <w:bottom w:w="100" w:type="dxa"/>
              <w:right w:w="150" w:type="dxa"/>
            </w:tcMar>
            <w:vAlign w:val="center"/>
          </w:tcPr>
          <w:p w14:paraId="51899A3C" w14:textId="77777777" w:rsidR="008616AC" w:rsidRDefault="00000000">
            <w:r>
              <w:rPr>
                <w:b/>
                <w:bCs/>
                <w:color w:val="1A1A1A"/>
              </w:rPr>
              <w:t>Message Queue</w:t>
            </w:r>
          </w:p>
        </w:tc>
        <w:tc>
          <w:tcPr>
            <w:tcW w:w="3250" w:type="pct"/>
            <w:tcMar>
              <w:top w:w="100" w:type="dxa"/>
              <w:left w:w="150" w:type="dxa"/>
              <w:bottom w:w="100" w:type="dxa"/>
              <w:right w:w="150" w:type="dxa"/>
            </w:tcMar>
            <w:vAlign w:val="center"/>
          </w:tcPr>
          <w:p w14:paraId="26EEC511" w14:textId="77777777" w:rsidR="008616AC" w:rsidRDefault="00000000">
            <w:r>
              <w:rPr>
                <w:color w:val="1A1A1A"/>
              </w:rPr>
              <w:t>Enables asynchronous, decoupled communication between services.</w:t>
            </w:r>
          </w:p>
        </w:tc>
      </w:tr>
    </w:tbl>
    <w:p w14:paraId="0B03F987" w14:textId="77777777" w:rsidR="008616AC" w:rsidRDefault="008616AC">
      <w:pPr>
        <w:spacing w:before="200"/>
      </w:pPr>
    </w:p>
    <w:p w14:paraId="3288676B" w14:textId="77777777" w:rsidR="008616AC" w:rsidRDefault="00000000">
      <w:pPr>
        <w:spacing w:before="220" w:after="120"/>
      </w:pPr>
      <w:r>
        <w:rPr>
          <w:b/>
          <w:bCs/>
          <w:color w:val="0F7C82"/>
          <w:sz w:val="24"/>
          <w:szCs w:val="24"/>
        </w:rPr>
        <w:t>4.2 Communication Mechanisms</w:t>
      </w:r>
    </w:p>
    <w:p w14:paraId="35F43044" w14:textId="77777777" w:rsidR="008616AC" w:rsidRDefault="00000000">
      <w:pPr>
        <w:pStyle w:val="ListParagraph"/>
        <w:numPr>
          <w:ilvl w:val="0"/>
          <w:numId w:val="2"/>
        </w:numPr>
        <w:spacing w:after="90" w:line="290" w:lineRule="auto"/>
      </w:pPr>
      <w:r>
        <w:rPr>
          <w:color w:val="1A1A1A"/>
          <w:sz w:val="22"/>
          <w:szCs w:val="22"/>
        </w:rPr>
        <w:t>Client-to-Gateway: Synchronous REST/HTTPS calls, secured via TLS.</w:t>
      </w:r>
    </w:p>
    <w:p w14:paraId="73EC639C" w14:textId="77777777" w:rsidR="008616AC" w:rsidRDefault="00000000">
      <w:pPr>
        <w:pStyle w:val="ListParagraph"/>
        <w:numPr>
          <w:ilvl w:val="0"/>
          <w:numId w:val="2"/>
        </w:numPr>
        <w:spacing w:after="90" w:line="290" w:lineRule="auto"/>
      </w:pPr>
      <w:r>
        <w:rPr>
          <w:color w:val="1A1A1A"/>
          <w:sz w:val="22"/>
          <w:szCs w:val="22"/>
        </w:rPr>
        <w:t>Gateway-to-Services: Synchronous internal REST calls for real-time requests (e.g., login, prescription lookup).</w:t>
      </w:r>
    </w:p>
    <w:p w14:paraId="4EB65FBE" w14:textId="77777777" w:rsidR="008616AC" w:rsidRDefault="00000000">
      <w:pPr>
        <w:pStyle w:val="ListParagraph"/>
        <w:numPr>
          <w:ilvl w:val="0"/>
          <w:numId w:val="2"/>
        </w:numPr>
        <w:spacing w:after="90" w:line="290" w:lineRule="auto"/>
      </w:pPr>
      <w:r>
        <w:rPr>
          <w:color w:val="1A1A1A"/>
          <w:sz w:val="22"/>
          <w:szCs w:val="22"/>
        </w:rPr>
        <w:t>Service-to-Service (async): Message queue (Kafka/RabbitMQ) used for events such as 'prescription issued' to trigger notification and pharmacy workflows without blocking the caller.</w:t>
      </w:r>
    </w:p>
    <w:p w14:paraId="4583D078" w14:textId="77777777" w:rsidR="008616AC" w:rsidRDefault="00000000">
      <w:pPr>
        <w:pStyle w:val="ListParagraph"/>
        <w:numPr>
          <w:ilvl w:val="0"/>
          <w:numId w:val="2"/>
        </w:numPr>
        <w:spacing w:after="90" w:line="290" w:lineRule="auto"/>
      </w:pPr>
      <w:r>
        <w:rPr>
          <w:color w:val="1A1A1A"/>
          <w:sz w:val="22"/>
          <w:szCs w:val="22"/>
        </w:rPr>
        <w:t>Services-to-Data Layer: Direct, connection-pooled database access per service (database-per-service pattern for Patient Records and Prescription services).</w:t>
      </w:r>
    </w:p>
    <w:p w14:paraId="6CE15A44" w14:textId="77777777" w:rsidR="008616AC" w:rsidRDefault="00000000">
      <w:pPr>
        <w:pStyle w:val="ListParagraph"/>
        <w:numPr>
          <w:ilvl w:val="0"/>
          <w:numId w:val="2"/>
        </w:numPr>
        <w:spacing w:after="90" w:line="290" w:lineRule="auto"/>
      </w:pPr>
      <w:r>
        <w:rPr>
          <w:color w:val="1A1A1A"/>
          <w:sz w:val="22"/>
          <w:szCs w:val="22"/>
        </w:rPr>
        <w:t>Services-to-External Systems: REST/SOAP API integrations with pharmacy networks, hospital EHRs, and payment gateways.</w:t>
      </w:r>
    </w:p>
    <w:p w14:paraId="1C50D845" w14:textId="77777777" w:rsidR="008616AC" w:rsidRDefault="00000000">
      <w:pPr>
        <w:spacing w:before="220" w:after="120"/>
      </w:pPr>
      <w:r>
        <w:rPr>
          <w:b/>
          <w:bCs/>
          <w:color w:val="0F7C82"/>
          <w:sz w:val="24"/>
          <w:szCs w:val="24"/>
        </w:rPr>
        <w:t>4.3 Overall Workflow</w:t>
      </w:r>
    </w:p>
    <w:p w14:paraId="64858264" w14:textId="77777777" w:rsidR="008616AC" w:rsidRDefault="00000000">
      <w:pPr>
        <w:spacing w:after="140" w:line="300" w:lineRule="auto"/>
      </w:pPr>
      <w:r>
        <w:rPr>
          <w:color w:val="1A1A1A"/>
          <w:sz w:val="22"/>
          <w:szCs w:val="22"/>
        </w:rPr>
        <w:t>The figure below illustrates a representative end-to-end flow: a doctor issuing a prescription through to the patient receiving confirmation, with every step logged for compliance.</w:t>
      </w:r>
    </w:p>
    <w:p w14:paraId="70E8206D" w14:textId="77777777" w:rsidR="008616AC" w:rsidRDefault="00000000">
      <w:pPr>
        <w:spacing w:before="120" w:after="120"/>
        <w:jc w:val="center"/>
      </w:pPr>
      <w:r>
        <w:rPr>
          <w:noProof/>
        </w:rPr>
        <w:lastRenderedPageBreak/>
        <w:drawing>
          <wp:inline distT="0" distB="0" distL="0" distR="0" wp14:anchorId="232B94AD" wp14:editId="59F36F56">
            <wp:extent cx="6000750" cy="2047875"/>
            <wp:effectExtent l="0" t="0" r="0" b="0"/>
            <wp:docPr id="2128165463" name="Picture 2128165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00750" cy="2047875"/>
                    </a:xfrm>
                    <a:prstGeom prst="rect">
                      <a:avLst/>
                    </a:prstGeom>
                  </pic:spPr>
                </pic:pic>
              </a:graphicData>
            </a:graphic>
          </wp:inline>
        </w:drawing>
      </w:r>
    </w:p>
    <w:p w14:paraId="1430D73B" w14:textId="77777777" w:rsidR="008616AC" w:rsidRDefault="00000000">
      <w:pPr>
        <w:spacing w:after="200"/>
        <w:jc w:val="center"/>
      </w:pPr>
      <w:r>
        <w:rPr>
          <w:i/>
          <w:iCs/>
          <w:color w:val="0F7C82"/>
          <w:sz w:val="18"/>
          <w:szCs w:val="18"/>
        </w:rPr>
        <w:t>Figure 2: End-to-End Prescription Workflow</w:t>
      </w:r>
    </w:p>
    <w:p w14:paraId="30BDBFFC" w14:textId="77777777" w:rsidR="008616AC" w:rsidRDefault="00000000">
      <w:r>
        <w:br w:type="page"/>
      </w:r>
    </w:p>
    <w:p w14:paraId="7A7B004F" w14:textId="77777777" w:rsidR="008616AC" w:rsidRDefault="00000000">
      <w:pPr>
        <w:pStyle w:val="Heading1"/>
        <w:spacing w:before="320" w:after="160"/>
      </w:pPr>
      <w:r>
        <w:rPr>
          <w:b/>
          <w:bCs/>
          <w:color w:val="0B2545"/>
        </w:rPr>
        <w:lastRenderedPageBreak/>
        <w:t>5. Discussion of Quality Attributes</w:t>
      </w:r>
    </w:p>
    <w:p w14:paraId="5BC7C7C4" w14:textId="77777777" w:rsidR="008616AC" w:rsidRDefault="00000000">
      <w:pPr>
        <w:spacing w:before="220" w:after="120"/>
      </w:pPr>
      <w:r>
        <w:rPr>
          <w:b/>
          <w:bCs/>
          <w:color w:val="0F7C82"/>
          <w:sz w:val="24"/>
          <w:szCs w:val="24"/>
        </w:rPr>
        <w:t>Scalability</w:t>
      </w:r>
    </w:p>
    <w:p w14:paraId="1A4787CB" w14:textId="77777777" w:rsidR="008616AC" w:rsidRDefault="00000000">
      <w:pPr>
        <w:spacing w:after="140" w:line="300" w:lineRule="auto"/>
      </w:pPr>
      <w:r>
        <w:rPr>
          <w:color w:val="1A1A1A"/>
          <w:sz w:val="22"/>
          <w:szCs w:val="22"/>
        </w:rPr>
        <w:t>The microservices layer allows horizontal scaling of individual services — for example, spinning up more instances of the Notification Service during peak refill-reminder periods — without scaling the entire system.</w:t>
      </w:r>
    </w:p>
    <w:p w14:paraId="45312534" w14:textId="77777777" w:rsidR="008616AC" w:rsidRDefault="00000000">
      <w:pPr>
        <w:spacing w:before="220" w:after="120"/>
      </w:pPr>
      <w:r>
        <w:rPr>
          <w:b/>
          <w:bCs/>
          <w:color w:val="0F7C82"/>
          <w:sz w:val="24"/>
          <w:szCs w:val="24"/>
        </w:rPr>
        <w:t>Security</w:t>
      </w:r>
    </w:p>
    <w:p w14:paraId="096D070C" w14:textId="77777777" w:rsidR="008616AC" w:rsidRDefault="00000000">
      <w:pPr>
        <w:spacing w:after="140" w:line="300" w:lineRule="auto"/>
      </w:pPr>
      <w:r>
        <w:rPr>
          <w:color w:val="1A1A1A"/>
          <w:sz w:val="22"/>
          <w:szCs w:val="22"/>
        </w:rPr>
        <w:t>Dedicated Auth Service (OAuth2/JWT/MFA) and a TLS/WAF edge layer ensure encrypted transport and authenticated, filtered access. Encrypted storage protects data at rest.</w:t>
      </w:r>
    </w:p>
    <w:p w14:paraId="36B411F4" w14:textId="77777777" w:rsidR="008616AC" w:rsidRDefault="00000000">
      <w:pPr>
        <w:spacing w:before="220" w:after="120"/>
      </w:pPr>
      <w:r>
        <w:rPr>
          <w:b/>
          <w:bCs/>
          <w:color w:val="0F7C82"/>
          <w:sz w:val="24"/>
          <w:szCs w:val="24"/>
        </w:rPr>
        <w:t>Performance</w:t>
      </w:r>
    </w:p>
    <w:p w14:paraId="35219921" w14:textId="77777777" w:rsidR="008616AC" w:rsidRDefault="00000000">
      <w:pPr>
        <w:spacing w:after="140" w:line="300" w:lineRule="auto"/>
      </w:pPr>
      <w:r>
        <w:rPr>
          <w:color w:val="1A1A1A"/>
          <w:sz w:val="22"/>
          <w:szCs w:val="22"/>
        </w:rPr>
        <w:t>Redis caching of sessions and tokens reduces repeated database hits, and asynchronous messaging keeps user-facing requests (like issuing a prescription) fast by deferring non-critical downstream work.</w:t>
      </w:r>
    </w:p>
    <w:p w14:paraId="64FC5882" w14:textId="77777777" w:rsidR="008616AC" w:rsidRDefault="00000000">
      <w:pPr>
        <w:spacing w:before="220" w:after="120"/>
      </w:pPr>
      <w:r>
        <w:rPr>
          <w:b/>
          <w:bCs/>
          <w:color w:val="0F7C82"/>
          <w:sz w:val="24"/>
          <w:szCs w:val="24"/>
        </w:rPr>
        <w:t>Reliability</w:t>
      </w:r>
    </w:p>
    <w:p w14:paraId="3FDC650B" w14:textId="77777777" w:rsidR="008616AC" w:rsidRDefault="00000000">
      <w:pPr>
        <w:spacing w:after="140" w:line="300" w:lineRule="auto"/>
      </w:pPr>
      <w:r>
        <w:rPr>
          <w:color w:val="1A1A1A"/>
          <w:sz w:val="22"/>
          <w:szCs w:val="22"/>
        </w:rPr>
        <w:t>The database-per-service pattern and message queue buffering mean a temporary outage in one service (e.g., Pharmacy Integration) does not cause data loss elsewhere — messages are retried once the service recovers.</w:t>
      </w:r>
    </w:p>
    <w:p w14:paraId="051D2D78" w14:textId="77777777" w:rsidR="008616AC" w:rsidRDefault="00000000">
      <w:pPr>
        <w:spacing w:before="220" w:after="120"/>
      </w:pPr>
      <w:r>
        <w:rPr>
          <w:b/>
          <w:bCs/>
          <w:color w:val="0F7C82"/>
          <w:sz w:val="24"/>
          <w:szCs w:val="24"/>
        </w:rPr>
        <w:t>Maintainability</w:t>
      </w:r>
    </w:p>
    <w:p w14:paraId="4B65F93C" w14:textId="77777777" w:rsidR="008616AC" w:rsidRDefault="00000000">
      <w:pPr>
        <w:spacing w:after="140" w:line="300" w:lineRule="auto"/>
      </w:pPr>
      <w:r>
        <w:rPr>
          <w:color w:val="1A1A1A"/>
          <w:sz w:val="22"/>
          <w:szCs w:val="22"/>
        </w:rPr>
        <w:t>Each microservice can be developed, tested, and deployed independently, reducing regression risk when updating a single feature such as notifications.</w:t>
      </w:r>
    </w:p>
    <w:p w14:paraId="221745D2" w14:textId="77777777" w:rsidR="008616AC" w:rsidRDefault="00000000">
      <w:pPr>
        <w:spacing w:before="220" w:after="120"/>
      </w:pPr>
      <w:r>
        <w:rPr>
          <w:b/>
          <w:bCs/>
          <w:color w:val="0F7C82"/>
          <w:sz w:val="24"/>
          <w:szCs w:val="24"/>
        </w:rPr>
        <w:t>Availability</w:t>
      </w:r>
    </w:p>
    <w:p w14:paraId="71DE46A7" w14:textId="77777777" w:rsidR="008616AC" w:rsidRDefault="00000000">
      <w:pPr>
        <w:spacing w:after="140" w:line="300" w:lineRule="auto"/>
      </w:pPr>
      <w:r>
        <w:rPr>
          <w:color w:val="1A1A1A"/>
          <w:sz w:val="22"/>
          <w:szCs w:val="22"/>
        </w:rPr>
        <w:t>Load-balanced API Gateway and independently deployable services reduce single points of failure; the Audit Service logs issues to support fast diagnosis and recovery.</w:t>
      </w:r>
    </w:p>
    <w:p w14:paraId="77496BCD" w14:textId="77777777" w:rsidR="008616AC" w:rsidRDefault="00000000">
      <w:r>
        <w:br w:type="page"/>
      </w:r>
    </w:p>
    <w:p w14:paraId="56B9907B" w14:textId="77777777" w:rsidR="008616AC" w:rsidRDefault="00000000">
      <w:pPr>
        <w:pStyle w:val="Heading1"/>
        <w:spacing w:before="320" w:after="160"/>
      </w:pPr>
      <w:r>
        <w:rPr>
          <w:b/>
          <w:bCs/>
          <w:color w:val="0B2545"/>
        </w:rPr>
        <w:lastRenderedPageBreak/>
        <w:t>6. Justification of Architectural Decisions</w:t>
      </w:r>
    </w:p>
    <w:p w14:paraId="27E8A603" w14:textId="77777777" w:rsidR="008616AC" w:rsidRDefault="00000000">
      <w:pPr>
        <w:spacing w:before="220" w:after="120"/>
      </w:pPr>
      <w:r>
        <w:rPr>
          <w:b/>
          <w:bCs/>
          <w:color w:val="0F7C82"/>
          <w:sz w:val="24"/>
          <w:szCs w:val="24"/>
        </w:rPr>
        <w:t>6.1 Rationale</w:t>
      </w:r>
    </w:p>
    <w:p w14:paraId="23358713" w14:textId="77777777" w:rsidR="008616AC" w:rsidRDefault="00000000">
      <w:pPr>
        <w:spacing w:after="140" w:line="300" w:lineRule="auto"/>
      </w:pPr>
      <w:r>
        <w:rPr>
          <w:color w:val="1A1A1A"/>
          <w:sz w:val="22"/>
          <w:szCs w:val="22"/>
        </w:rPr>
        <w:t xml:space="preserve">The hybrid layered-microservices approach was chosen because </w:t>
      </w:r>
      <w:proofErr w:type="spellStart"/>
      <w:r>
        <w:rPr>
          <w:color w:val="1A1A1A"/>
          <w:sz w:val="22"/>
          <w:szCs w:val="22"/>
        </w:rPr>
        <w:t>MediVault</w:t>
      </w:r>
      <w:proofErr w:type="spellEnd"/>
      <w:r>
        <w:rPr>
          <w:color w:val="1A1A1A"/>
          <w:sz w:val="22"/>
          <w:szCs w:val="22"/>
        </w:rPr>
        <w:t xml:space="preserve"> must simultaneously satisfy strict security requirements (healthcare data), variable load across different functions (notifications spike, audit logging is steady), and a need for independent evolution of features. A single layered monolith would meet the security and simplicity goals but would not scale specific hot-spots independently or isolate failures. Pure microservices without a layered security boundary would risk inconsistent authentication enforcement across services.</w:t>
      </w:r>
    </w:p>
    <w:p w14:paraId="578BB067" w14:textId="77777777" w:rsidR="008616AC" w:rsidRDefault="00000000">
      <w:pPr>
        <w:spacing w:before="220" w:after="120"/>
      </w:pPr>
      <w:r>
        <w:rPr>
          <w:b/>
          <w:bCs/>
          <w:color w:val="0F7C82"/>
          <w:sz w:val="24"/>
          <w:szCs w:val="24"/>
        </w:rPr>
        <w:t>6.2 Trade-offs Considered</w:t>
      </w:r>
    </w:p>
    <w:p w14:paraId="24FB4AB8" w14:textId="77777777" w:rsidR="008616AC" w:rsidRDefault="00000000">
      <w:pPr>
        <w:pStyle w:val="ListParagraph"/>
        <w:numPr>
          <w:ilvl w:val="0"/>
          <w:numId w:val="2"/>
        </w:numPr>
        <w:spacing w:after="90" w:line="290" w:lineRule="auto"/>
      </w:pPr>
      <w:r>
        <w:rPr>
          <w:color w:val="1A1A1A"/>
          <w:sz w:val="22"/>
          <w:szCs w:val="22"/>
        </w:rPr>
        <w:t>Complexity vs. Flexibility: Microservices introduce operational complexity (service discovery, distributed monitoring) in exchange for independent scalability and deployment — considered acceptable given healthcare-scale growth expectations.</w:t>
      </w:r>
    </w:p>
    <w:p w14:paraId="576E2C84" w14:textId="77777777" w:rsidR="008616AC" w:rsidRDefault="00000000">
      <w:pPr>
        <w:pStyle w:val="ListParagraph"/>
        <w:numPr>
          <w:ilvl w:val="0"/>
          <w:numId w:val="2"/>
        </w:numPr>
        <w:spacing w:after="90" w:line="290" w:lineRule="auto"/>
      </w:pPr>
      <w:r>
        <w:rPr>
          <w:color w:val="1A1A1A"/>
          <w:sz w:val="22"/>
          <w:szCs w:val="22"/>
        </w:rPr>
        <w:t>Consistency vs. Availability: Asynchronous messaging favours availability and responsiveness over strict immediate consistency for non-critical events (e.g., notification delivery), while core prescription and patient data writes remain synchronous and strongly consistent.</w:t>
      </w:r>
    </w:p>
    <w:p w14:paraId="38AE9C38" w14:textId="77777777" w:rsidR="008616AC" w:rsidRDefault="00000000">
      <w:pPr>
        <w:pStyle w:val="ListParagraph"/>
        <w:numPr>
          <w:ilvl w:val="0"/>
          <w:numId w:val="2"/>
        </w:numPr>
        <w:spacing w:after="90" w:line="290" w:lineRule="auto"/>
      </w:pPr>
      <w:r>
        <w:rPr>
          <w:color w:val="1A1A1A"/>
          <w:sz w:val="22"/>
          <w:szCs w:val="22"/>
        </w:rPr>
        <w:t>Cost vs. Isolation: Running separate databases per core service increases infrastructure cost but significantly improves fault isolation, which is prioritized in a healthcare context.</w:t>
      </w:r>
    </w:p>
    <w:p w14:paraId="1DABE923" w14:textId="77777777" w:rsidR="008616AC" w:rsidRDefault="00000000">
      <w:pPr>
        <w:spacing w:before="220" w:after="120"/>
      </w:pPr>
      <w:r>
        <w:rPr>
          <w:b/>
          <w:bCs/>
          <w:color w:val="0F7C82"/>
          <w:sz w:val="24"/>
          <w:szCs w:val="24"/>
        </w:rPr>
        <w:t>6.3 Support for Future Enhancements and Long-Term Maintainability</w:t>
      </w:r>
    </w:p>
    <w:p w14:paraId="671BA08E" w14:textId="77777777" w:rsidR="008616AC" w:rsidRDefault="00000000">
      <w:pPr>
        <w:pStyle w:val="ListParagraph"/>
        <w:numPr>
          <w:ilvl w:val="0"/>
          <w:numId w:val="2"/>
        </w:numPr>
        <w:spacing w:after="90" w:line="290" w:lineRule="auto"/>
      </w:pPr>
      <w:r>
        <w:rPr>
          <w:color w:val="1A1A1A"/>
          <w:sz w:val="22"/>
          <w:szCs w:val="22"/>
        </w:rPr>
        <w:t>New services (e.g., Insurance Claims, Telemedicine Integration) can be added behind the API Gateway without modifying existing services.</w:t>
      </w:r>
    </w:p>
    <w:p w14:paraId="29EB544F" w14:textId="77777777" w:rsidR="008616AC" w:rsidRDefault="00000000">
      <w:pPr>
        <w:pStyle w:val="ListParagraph"/>
        <w:numPr>
          <w:ilvl w:val="0"/>
          <w:numId w:val="2"/>
        </w:numPr>
        <w:spacing w:after="90" w:line="290" w:lineRule="auto"/>
      </w:pPr>
      <w:r>
        <w:rPr>
          <w:color w:val="1A1A1A"/>
          <w:sz w:val="22"/>
          <w:szCs w:val="22"/>
        </w:rPr>
        <w:t>The message queue provides a natural extension point for future event-driven features, such as AI-based drug-interaction alerts.</w:t>
      </w:r>
    </w:p>
    <w:p w14:paraId="440E23AE" w14:textId="77777777" w:rsidR="008616AC" w:rsidRDefault="00000000">
      <w:pPr>
        <w:pStyle w:val="ListParagraph"/>
        <w:numPr>
          <w:ilvl w:val="0"/>
          <w:numId w:val="2"/>
        </w:numPr>
        <w:spacing w:after="90" w:line="290" w:lineRule="auto"/>
      </w:pPr>
      <w:r>
        <w:rPr>
          <w:color w:val="1A1A1A"/>
          <w:sz w:val="22"/>
          <w:szCs w:val="22"/>
        </w:rPr>
        <w:t>Clear separation between layers allows the UI, business logic, and data storage to evolve on independent release cycles, supporting long-term maintainability as the platform grows across more hospitals and pharmacy networks.</w:t>
      </w:r>
    </w:p>
    <w:sectPr w:rsidR="008616AC">
      <w:headerReference w:type="default" r:id="rId9"/>
      <w:footerReference w:type="default" r:id="rId10"/>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6C50E" w14:textId="77777777" w:rsidR="00826887" w:rsidRDefault="00826887">
      <w:r>
        <w:separator/>
      </w:r>
    </w:p>
  </w:endnote>
  <w:endnote w:type="continuationSeparator" w:id="0">
    <w:p w14:paraId="4297CFDF" w14:textId="77777777" w:rsidR="00826887" w:rsidRDefault="008268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33480" w14:textId="77777777" w:rsidR="008616AC" w:rsidRDefault="00000000">
    <w:pPr>
      <w:jc w:val="center"/>
    </w:pPr>
    <w:r>
      <w:rPr>
        <w:color w:val="444444"/>
        <w:sz w:val="16"/>
        <w:szCs w:val="16"/>
      </w:rPr>
      <w:t xml:space="preserve">Page </w:t>
    </w:r>
    <w:r>
      <w:rPr>
        <w:color w:val="444444"/>
        <w:sz w:val="16"/>
        <w:szCs w:val="16"/>
      </w:rPr>
      <w:fldChar w:fldCharType="begin"/>
    </w:r>
    <w:r>
      <w:rPr>
        <w:color w:val="444444"/>
        <w:sz w:val="16"/>
        <w:szCs w:val="16"/>
      </w:rPr>
      <w:instrText>PAGE</w:instrText>
    </w:r>
    <w:r>
      <w:rPr>
        <w:color w:val="444444"/>
        <w:sz w:val="16"/>
        <w:szCs w:val="16"/>
      </w:rPr>
      <w:fldChar w:fldCharType="separate"/>
    </w:r>
    <w:r w:rsidR="00BB5341">
      <w:rPr>
        <w:noProof/>
        <w:color w:val="444444"/>
        <w:sz w:val="16"/>
        <w:szCs w:val="16"/>
      </w:rPr>
      <w:t>1</w:t>
    </w:r>
    <w:r>
      <w:rPr>
        <w:color w:val="444444"/>
        <w:sz w:val="16"/>
        <w:szCs w:val="16"/>
      </w:rPr>
      <w:fldChar w:fldCharType="end"/>
    </w:r>
    <w:r>
      <w:rPr>
        <w:color w:val="444444"/>
        <w:sz w:val="16"/>
        <w:szCs w:val="16"/>
      </w:rPr>
      <w:t xml:space="preserve"> of </w:t>
    </w:r>
    <w:r>
      <w:rPr>
        <w:color w:val="444444"/>
        <w:sz w:val="16"/>
        <w:szCs w:val="16"/>
      </w:rPr>
      <w:fldChar w:fldCharType="begin"/>
    </w:r>
    <w:r>
      <w:rPr>
        <w:color w:val="444444"/>
        <w:sz w:val="16"/>
        <w:szCs w:val="16"/>
      </w:rPr>
      <w:instrText>NUMPAGES</w:instrText>
    </w:r>
    <w:r>
      <w:rPr>
        <w:color w:val="444444"/>
        <w:sz w:val="16"/>
        <w:szCs w:val="16"/>
      </w:rPr>
      <w:fldChar w:fldCharType="separate"/>
    </w:r>
    <w:r w:rsidR="00BB5341">
      <w:rPr>
        <w:noProof/>
        <w:color w:val="444444"/>
        <w:sz w:val="16"/>
        <w:szCs w:val="16"/>
      </w:rPr>
      <w:t>2</w:t>
    </w:r>
    <w:r>
      <w:rPr>
        <w:color w:val="44444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BC155" w14:textId="77777777" w:rsidR="00826887" w:rsidRDefault="00826887">
      <w:r>
        <w:separator/>
      </w:r>
    </w:p>
  </w:footnote>
  <w:footnote w:type="continuationSeparator" w:id="0">
    <w:p w14:paraId="6DD43CE6" w14:textId="77777777" w:rsidR="00826887" w:rsidRDefault="008268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B15F0" w14:textId="77777777" w:rsidR="008616AC" w:rsidRDefault="00000000">
    <w:pPr>
      <w:jc w:val="right"/>
    </w:pPr>
    <w:proofErr w:type="spellStart"/>
    <w:r>
      <w:rPr>
        <w:i/>
        <w:iCs/>
        <w:color w:val="0F7C82"/>
        <w:sz w:val="16"/>
        <w:szCs w:val="16"/>
      </w:rPr>
      <w:t>MediVault</w:t>
    </w:r>
    <w:proofErr w:type="spellEnd"/>
    <w:r>
      <w:rPr>
        <w:i/>
        <w:iCs/>
        <w:color w:val="0F7C82"/>
        <w:sz w:val="16"/>
        <w:szCs w:val="16"/>
      </w:rPr>
      <w:t xml:space="preserve"> — Architecture Design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B30DB"/>
    <w:multiLevelType w:val="hybridMultilevel"/>
    <w:tmpl w:val="F25C6196"/>
    <w:lvl w:ilvl="0" w:tplc="4288D334">
      <w:start w:val="1"/>
      <w:numFmt w:val="bullet"/>
      <w:lvlText w:val="•"/>
      <w:lvlJc w:val="left"/>
      <w:pPr>
        <w:ind w:left="460" w:hanging="260"/>
      </w:pPr>
    </w:lvl>
    <w:lvl w:ilvl="1" w:tplc="EA429702">
      <w:numFmt w:val="decimal"/>
      <w:lvlText w:val=""/>
      <w:lvlJc w:val="left"/>
    </w:lvl>
    <w:lvl w:ilvl="2" w:tplc="CD7492F8">
      <w:numFmt w:val="decimal"/>
      <w:lvlText w:val=""/>
      <w:lvlJc w:val="left"/>
    </w:lvl>
    <w:lvl w:ilvl="3" w:tplc="9DDC7DDC">
      <w:numFmt w:val="decimal"/>
      <w:lvlText w:val=""/>
      <w:lvlJc w:val="left"/>
    </w:lvl>
    <w:lvl w:ilvl="4" w:tplc="D180A3E6">
      <w:numFmt w:val="decimal"/>
      <w:lvlText w:val=""/>
      <w:lvlJc w:val="left"/>
    </w:lvl>
    <w:lvl w:ilvl="5" w:tplc="3FAE7D48">
      <w:numFmt w:val="decimal"/>
      <w:lvlText w:val=""/>
      <w:lvlJc w:val="left"/>
    </w:lvl>
    <w:lvl w:ilvl="6" w:tplc="DA0486B6">
      <w:numFmt w:val="decimal"/>
      <w:lvlText w:val=""/>
      <w:lvlJc w:val="left"/>
    </w:lvl>
    <w:lvl w:ilvl="7" w:tplc="900472BC">
      <w:numFmt w:val="decimal"/>
      <w:lvlText w:val=""/>
      <w:lvlJc w:val="left"/>
    </w:lvl>
    <w:lvl w:ilvl="8" w:tplc="F47E1526">
      <w:numFmt w:val="decimal"/>
      <w:lvlText w:val=""/>
      <w:lvlJc w:val="left"/>
    </w:lvl>
  </w:abstractNum>
  <w:abstractNum w:abstractNumId="1" w15:restartNumberingAfterBreak="0">
    <w:nsid w:val="515A3855"/>
    <w:multiLevelType w:val="hybridMultilevel"/>
    <w:tmpl w:val="9BF48A1A"/>
    <w:lvl w:ilvl="0" w:tplc="8B5A9C4C">
      <w:start w:val="1"/>
      <w:numFmt w:val="bullet"/>
      <w:lvlText w:val="●"/>
      <w:lvlJc w:val="left"/>
      <w:pPr>
        <w:ind w:left="720" w:hanging="360"/>
      </w:pPr>
    </w:lvl>
    <w:lvl w:ilvl="1" w:tplc="9E4A0788">
      <w:start w:val="1"/>
      <w:numFmt w:val="bullet"/>
      <w:lvlText w:val="○"/>
      <w:lvlJc w:val="left"/>
      <w:pPr>
        <w:ind w:left="1440" w:hanging="360"/>
      </w:pPr>
    </w:lvl>
    <w:lvl w:ilvl="2" w:tplc="35C4F974">
      <w:start w:val="1"/>
      <w:numFmt w:val="bullet"/>
      <w:lvlText w:val="■"/>
      <w:lvlJc w:val="left"/>
      <w:pPr>
        <w:ind w:left="2160" w:hanging="360"/>
      </w:pPr>
    </w:lvl>
    <w:lvl w:ilvl="3" w:tplc="9C98ED38">
      <w:start w:val="1"/>
      <w:numFmt w:val="bullet"/>
      <w:lvlText w:val="●"/>
      <w:lvlJc w:val="left"/>
      <w:pPr>
        <w:ind w:left="2880" w:hanging="360"/>
      </w:pPr>
    </w:lvl>
    <w:lvl w:ilvl="4" w:tplc="0D62C252">
      <w:start w:val="1"/>
      <w:numFmt w:val="bullet"/>
      <w:lvlText w:val="○"/>
      <w:lvlJc w:val="left"/>
      <w:pPr>
        <w:ind w:left="3600" w:hanging="360"/>
      </w:pPr>
    </w:lvl>
    <w:lvl w:ilvl="5" w:tplc="5C046908">
      <w:start w:val="1"/>
      <w:numFmt w:val="bullet"/>
      <w:lvlText w:val="■"/>
      <w:lvlJc w:val="left"/>
      <w:pPr>
        <w:ind w:left="4320" w:hanging="360"/>
      </w:pPr>
    </w:lvl>
    <w:lvl w:ilvl="6" w:tplc="C4C08534">
      <w:start w:val="1"/>
      <w:numFmt w:val="bullet"/>
      <w:lvlText w:val="●"/>
      <w:lvlJc w:val="left"/>
      <w:pPr>
        <w:ind w:left="5040" w:hanging="360"/>
      </w:pPr>
    </w:lvl>
    <w:lvl w:ilvl="7" w:tplc="A022B022">
      <w:start w:val="1"/>
      <w:numFmt w:val="bullet"/>
      <w:lvlText w:val="●"/>
      <w:lvlJc w:val="left"/>
      <w:pPr>
        <w:ind w:left="5760" w:hanging="360"/>
      </w:pPr>
    </w:lvl>
    <w:lvl w:ilvl="8" w:tplc="800E17A4">
      <w:start w:val="1"/>
      <w:numFmt w:val="bullet"/>
      <w:lvlText w:val="●"/>
      <w:lvlJc w:val="left"/>
      <w:pPr>
        <w:ind w:left="6480" w:hanging="360"/>
      </w:pPr>
    </w:lvl>
  </w:abstractNum>
  <w:num w:numId="1" w16cid:durableId="415903263">
    <w:abstractNumId w:val="1"/>
    <w:lvlOverride w:ilvl="0">
      <w:startOverride w:val="1"/>
    </w:lvlOverride>
  </w:num>
  <w:num w:numId="2" w16cid:durableId="5690742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6AC"/>
    <w:rsid w:val="007C555D"/>
    <w:rsid w:val="00826887"/>
    <w:rsid w:val="008616AC"/>
    <w:rsid w:val="00B80525"/>
    <w:rsid w:val="00BB53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2D560"/>
  <w15:docId w15:val="{0BE950A3-C62A-4ED9-A236-D29D065BD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1512</Words>
  <Characters>8623</Characters>
  <Application>Microsoft Office Word</Application>
  <DocSecurity>0</DocSecurity>
  <Lines>71</Lines>
  <Paragraphs>20</Paragraphs>
  <ScaleCrop>false</ScaleCrop>
  <Company/>
  <LinksUpToDate>false</LinksUpToDate>
  <CharactersWithSpaces>10115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RISHITHA YELETI</cp:lastModifiedBy>
  <cp:revision>2</cp:revision>
  <dcterms:created xsi:type="dcterms:W3CDTF">2026-08-04T04:17:00Z</dcterms:created>
  <dcterms:modified xsi:type="dcterms:W3CDTF">2026-08-04T04:17:00Z</dcterms:modified>
</cp:coreProperties>
</file>