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Sales Forecasting &amp; Demand Intelligence</w:t>
      </w:r>
    </w:p>
    <w:p>
      <w:pPr>
        <w:spacing w:after="260"/>
      </w:pPr>
      <w:r>
        <w:rPr>
          <w:i/>
          <w:iCs/>
          <w:sz w:val="22"/>
          <w:szCs w:val="22"/>
        </w:rPr>
        <w:t xml:space="preserve">Executive Business Report — Prepared for Head of Supply Chain &amp; CFO</w:t>
      </w:r>
    </w:p>
    <w:p>
      <w:pPr>
        <w:pStyle w:val="Heading1"/>
        <w:spacing w:after="120" w:before="240"/>
      </w:pPr>
      <w:r>
        <w:t xml:space="preserve">Executive Summary</w:t>
      </w:r>
    </w:p>
    <w:p>
      <w:pPr>
        <w:spacing w:after="120"/>
      </w:pPr>
      <w:r>
        <w:t xml:space="preserve">Our sales data shows steady, healthy growth over the past four years, with a strong and predictable holiday season every November and December. We built a forecasting system that predicts sales up to three months ahead, automatically flags unusual sales weeks (both spikes and drops), and groups our products into four demand patterns so we know how to stock each one. Overall, the business is growing, the busy season is well understood and forecastable, and we now have an early-warning system for unusual sales activity.</w:t>
      </w:r>
    </w:p>
    <w:p>
      <w:pPr>
        <w:pStyle w:val="Heading1"/>
        <w:spacing w:after="120" w:before="240"/>
      </w:pPr>
      <w:r>
        <w:t xml:space="preserve">Key Findings</w:t>
      </w:r>
    </w:p>
    <w:p>
      <w:pPr>
        <w:pStyle w:val="Heading2"/>
        <w:spacing w:after="100" w:before="200"/>
      </w:pPr>
      <w:r>
        <w:t xml:space="preserve">Where the revenue comes from</w:t>
      </w:r>
    </w:p>
    <w:p>
      <w:pPr>
        <w:pStyle w:val="ListParagraph"/>
        <w:numPr>
          <w:ilvl w:val="0"/>
          <w:numId w:val="1"/>
        </w:numPr>
        <w:spacing w:after="80"/>
      </w:pPr>
      <w:r>
        <w:t xml:space="preserve">Technology generates the highest total revenue (~$827,000 over the 4-year period), followed closely by Furniture (~$729,000) and Office Supplies (~$705,000). Office Supplies sells in the highest volume but at much lower prices per item, keeping its total dollar contribution the smallest of the three.</w:t>
      </w:r>
    </w:p>
    <w:p>
      <w:pPr>
        <w:pStyle w:val="ListParagraph"/>
        <w:numPr>
          <w:ilvl w:val="0"/>
          <w:numId w:val="1"/>
        </w:numPr>
        <w:spacing w:after="80"/>
      </w:pPr>
      <w:r>
        <w:t xml:space="preserve">The East region has grown every single year with very low year-to-year variation, making it our most dependable, consistent grower. West shows a higher average growth rate, but with much more volatility — including years of very strong growth alongside a sharp regional dip. South swings the most dramatically of all: a steep decline one year followed by strong growth the next — making it the hardest region to plan around.</w:t>
      </w:r>
    </w:p>
    <w:p>
      <w:pPr>
        <w:pStyle w:val="ListParagraph"/>
        <w:numPr>
          <w:ilvl w:val="0"/>
          <w:numId w:val="1"/>
        </w:numPr>
        <w:spacing w:after="80"/>
      </w:pPr>
      <w:r>
        <w:t xml:space="preserve">Order-to-ship time is essentially the same across all four regions (within about a quarter of a day of each other). This means shipping speed is driven mainly by which shipping method a customer chooses, not by which region they're in — there is no regional shipping bottleneck to fix.</w:t>
      </w:r>
    </w:p>
    <w:p>
      <w:pPr>
        <w:pStyle w:val="ListParagraph"/>
        <w:numPr>
          <w:ilvl w:val="0"/>
          <w:numId w:val="1"/>
        </w:numPr>
        <w:spacing w:after="80"/>
      </w:pPr>
      <w:r>
        <w:t xml:space="preserve">November, December, and September are consistently the strongest sales months every year (holiday and back-to-school/office shopping), while January and February are consistently the weakest — a reliable, repeatable pattern we can plan inventory around.</w:t>
      </w:r>
    </w:p>
    <w:p>
      <w:pPr>
        <w:pStyle w:val="Heading2"/>
        <w:spacing w:after="100" w:before="200"/>
      </w:pPr>
      <w:r>
        <w:t xml:space="preserve">The 3-month sales forecast</w:t>
      </w:r>
    </w:p>
    <w:p>
      <w:pPr>
        <w:spacing w:after="120"/>
      </w:pPr>
      <w:r>
        <w:t xml:space="preserve">Using our best-performing forecasting model, we expect total sales of approximately $60,300 in the first forecast month, rising to about $91,500 in the second month and $97,200 in the third month, in line with the seasonal upswing typically seen heading into the holiday period. There is natural uncertainty in any forecast: the true result for each month could reasonably fall within a fairly wide range — for example, the first month could land anywhere between roughly $33,900 and $86,800. We recommend treating these as planning ranges, not guarantees, and revisiting the forecast monthly as new sales data comes in.</w:t>
      </w:r>
    </w:p>
    <w:p>
      <w:pPr>
        <w:spacing w:after="120"/>
      </w:pPr>
      <w:r>
        <w:t xml:space="preserve">We tested three different forecasting approaches and compared their accuracy on real held-out data (see table below). The first model, SARIMA, was the most accurate overall and is the one recommended for ongoing use, though XGBoost performed competitively and is worth revisiting once more historical data accumulates.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00"/>
        <w:gridCol w:w="2000"/>
      </w:tblGrid>
      <w:tr>
        <w:tc>
          <w:tcPr>
            <w:tcW w:type="dxa" w:w="2200"/>
            <w:shd w:fill="2B6CB0" w:val="clear"/>
          </w:tcPr>
          <w:p>
            <w:r>
              <w:rPr>
                <w:b/>
                <w:bCs/>
                <w:color w:val="FFFFFF"/>
                <w:sz w:val="20"/>
                <w:szCs w:val="20"/>
              </w:rPr>
              <w:t xml:space="preserve">Model</w:t>
            </w:r>
          </w:p>
        </w:tc>
        <w:tc>
          <w:tcPr>
            <w:tcW w:type="dxa" w:w="1600"/>
            <w:shd w:fill="2B6CB0" w:val="clear"/>
          </w:tcPr>
          <w:p>
            <w:r>
              <w:rPr>
                <w:b/>
                <w:bCs/>
                <w:color w:val="FFFFFF"/>
                <w:sz w:val="20"/>
                <w:szCs w:val="20"/>
              </w:rPr>
              <w:t xml:space="preserve">MAE</w:t>
            </w:r>
          </w:p>
        </w:tc>
        <w:tc>
          <w:tcPr>
            <w:tcW w:type="dxa" w:w="1600"/>
            <w:shd w:fill="2B6CB0" w:val="clear"/>
          </w:tcPr>
          <w:p>
            <w:r>
              <w:rPr>
                <w:b/>
                <w:bCs/>
                <w:color w:val="FFFFFF"/>
                <w:sz w:val="20"/>
                <w:szCs w:val="20"/>
              </w:rPr>
              <w:t xml:space="preserve">RMSE</w:t>
            </w:r>
          </w:p>
        </w:tc>
        <w:tc>
          <w:tcPr>
            <w:tcW w:type="dxa" w:w="1600"/>
            <w:shd w:fill="2B6CB0" w:val="clear"/>
          </w:tcPr>
          <w:p>
            <w:r>
              <w:rPr>
                <w:b/>
                <w:bCs/>
                <w:color w:val="FFFFFF"/>
                <w:sz w:val="20"/>
                <w:szCs w:val="20"/>
              </w:rPr>
              <w:t xml:space="preserve">MAPE</w:t>
            </w:r>
          </w:p>
        </w:tc>
        <w:tc>
          <w:tcPr>
            <w:tcW w:type="dxa" w:w="2000"/>
            <w:shd w:fill="2B6CB0" w:val="clear"/>
          </w:tcPr>
          <w:p>
            <w:r>
              <w:rPr>
                <w:b/>
                <w:bCs/>
                <w:color w:val="FFFFFF"/>
                <w:sz w:val="20"/>
                <w:szCs w:val="20"/>
              </w:rPr>
              <w:t xml:space="preserve">Best Use Case</w:t>
            </w:r>
          </w:p>
        </w:tc>
        <w:tc>
          <w:tcPr>
            <w:tcW w:type="dxa" w:w="2000"/>
            <w:shd w:fill="2B6CB0" w:val="clear"/>
          </w:tcPr>
          <w:p>
            <w:r>
              <w:rPr>
                <w:b/>
                <w:bCs/>
                <w:color w:val="FFFFFF"/>
                <w:sz w:val="20"/>
                <w:szCs w:val="20"/>
              </w:rPr>
              <w:t xml:space="preserve">Recommended?</w:t>
            </w:r>
          </w:p>
        </w:tc>
      </w:tr>
      <w:tr>
        <w:tc>
          <w:tcPr>
            <w:tcW w:type="dxa" w:w="2200"/>
          </w:tcPr>
          <w:p>
            <w:r>
              <w:rPr>
                <w:b w:val="false"/>
                <w:bCs w:val="false"/>
                <w:color w:val="000000"/>
                <w:sz w:val="20"/>
                <w:szCs w:val="20"/>
              </w:rPr>
              <w:t xml:space="preserve">SARIMA</w:t>
            </w:r>
          </w:p>
        </w:tc>
        <w:tc>
          <w:tcPr>
            <w:tcW w:type="dxa" w:w="1600"/>
          </w:tcPr>
          <w:p>
            <w:r>
              <w:rPr>
                <w:b w:val="false"/>
                <w:bCs w:val="false"/>
                <w:color w:val="000000"/>
                <w:sz w:val="20"/>
                <w:szCs w:val="20"/>
              </w:rPr>
              <w:t xml:space="preserve">$19,244</w:t>
            </w:r>
          </w:p>
        </w:tc>
        <w:tc>
          <w:tcPr>
            <w:tcW w:type="dxa" w:w="1600"/>
          </w:tcPr>
          <w:p>
            <w:r>
              <w:rPr>
                <w:b w:val="false"/>
                <w:bCs w:val="false"/>
                <w:color w:val="000000"/>
                <w:sz w:val="20"/>
                <w:szCs w:val="20"/>
              </w:rPr>
              <w:t xml:space="preserve">$19,950</w:t>
            </w:r>
          </w:p>
        </w:tc>
        <w:tc>
          <w:tcPr>
            <w:tcW w:type="dxa" w:w="1600"/>
          </w:tcPr>
          <w:p>
            <w:r>
              <w:rPr>
                <w:b w:val="false"/>
                <w:bCs w:val="false"/>
                <w:color w:val="000000"/>
                <w:sz w:val="20"/>
                <w:szCs w:val="20"/>
              </w:rPr>
              <w:t xml:space="preserve">20.5%</w:t>
            </w:r>
          </w:p>
        </w:tc>
        <w:tc>
          <w:tcPr>
            <w:tcW w:type="dxa" w:w="2000"/>
          </w:tcPr>
          <w:p>
            <w:r>
              <w:rPr>
                <w:b w:val="false"/>
                <w:bCs w:val="false"/>
                <w:color w:val="000000"/>
                <w:sz w:val="20"/>
                <w:szCs w:val="20"/>
              </w:rPr>
              <w:t xml:space="preserve">Strong, regular seasonality</w:t>
            </w:r>
          </w:p>
        </w:tc>
        <w:tc>
          <w:tcPr>
            <w:tcW w:type="dxa" w:w="2000"/>
          </w:tcPr>
          <w:p>
            <w:r>
              <w:rPr>
                <w:b w:val="false"/>
                <w:bCs w:val="false"/>
                <w:color w:val="000000"/>
                <w:sz w:val="20"/>
                <w:szCs w:val="20"/>
              </w:rPr>
              <w:t xml:space="preserve">Yes — recommended</w:t>
            </w:r>
          </w:p>
        </w:tc>
      </w:tr>
      <w:tr>
        <w:tc>
          <w:tcPr>
            <w:tcW w:type="dxa" w:w="2200"/>
          </w:tcPr>
          <w:p>
            <w:r>
              <w:rPr>
                <w:b w:val="false"/>
                <w:bCs w:val="false"/>
                <w:color w:val="000000"/>
                <w:sz w:val="20"/>
                <w:szCs w:val="20"/>
              </w:rPr>
              <w:t xml:space="preserve">Prophet</w:t>
            </w:r>
          </w:p>
        </w:tc>
        <w:tc>
          <w:tcPr>
            <w:tcW w:type="dxa" w:w="1600"/>
          </w:tcPr>
          <w:p>
            <w:r>
              <w:rPr>
                <w:b w:val="false"/>
                <w:bCs w:val="false"/>
                <w:color w:val="000000"/>
                <w:sz w:val="20"/>
                <w:szCs w:val="20"/>
              </w:rPr>
              <w:t xml:space="preserve">$20,296</w:t>
            </w:r>
          </w:p>
        </w:tc>
        <w:tc>
          <w:tcPr>
            <w:tcW w:type="dxa" w:w="1600"/>
          </w:tcPr>
          <w:p>
            <w:r>
              <w:rPr>
                <w:b w:val="false"/>
                <w:bCs w:val="false"/>
                <w:color w:val="000000"/>
                <w:sz w:val="20"/>
                <w:szCs w:val="20"/>
              </w:rPr>
              <w:t xml:space="preserve">$22,487</w:t>
            </w:r>
          </w:p>
        </w:tc>
        <w:tc>
          <w:tcPr>
            <w:tcW w:type="dxa" w:w="1600"/>
          </w:tcPr>
          <w:p>
            <w:r>
              <w:rPr>
                <w:b w:val="false"/>
                <w:bCs w:val="false"/>
                <w:color w:val="000000"/>
                <w:sz w:val="20"/>
                <w:szCs w:val="20"/>
              </w:rPr>
              <w:t xml:space="preserve">21.9%</w:t>
            </w:r>
          </w:p>
        </w:tc>
        <w:tc>
          <w:tcPr>
            <w:tcW w:type="dxa" w:w="2000"/>
          </w:tcPr>
          <w:p>
            <w:r>
              <w:rPr>
                <w:b w:val="false"/>
                <w:bCs w:val="false"/>
                <w:color w:val="000000"/>
                <w:sz w:val="20"/>
                <w:szCs w:val="20"/>
              </w:rPr>
              <w:t xml:space="preserve">Configurable, handles holidays well</w:t>
            </w:r>
          </w:p>
        </w:tc>
        <w:tc>
          <w:tcPr>
            <w:tcW w:type="dxa" w:w="2000"/>
          </w:tcPr>
          <w:p>
            <w:r>
              <w:rPr>
                <w:b w:val="false"/>
                <w:bCs w:val="false"/>
                <w:color w:val="000000"/>
                <w:sz w:val="20"/>
                <w:szCs w:val="20"/>
              </w:rPr>
              <w:t xml:space="preserve">Close second</w:t>
            </w:r>
          </w:p>
        </w:tc>
      </w:tr>
      <w:tr>
        <w:tc>
          <w:tcPr>
            <w:tcW w:type="dxa" w:w="2200"/>
          </w:tcPr>
          <w:p>
            <w:r>
              <w:rPr>
                <w:b w:val="false"/>
                <w:bCs w:val="false"/>
                <w:color w:val="000000"/>
                <w:sz w:val="20"/>
                <w:szCs w:val="20"/>
              </w:rPr>
              <w:t xml:space="preserve">XGBoost</w:t>
            </w:r>
          </w:p>
        </w:tc>
        <w:tc>
          <w:tcPr>
            <w:tcW w:type="dxa" w:w="1600"/>
          </w:tcPr>
          <w:p>
            <w:r>
              <w:rPr>
                <w:b w:val="false"/>
                <w:bCs w:val="false"/>
                <w:color w:val="000000"/>
                <w:sz w:val="20"/>
                <w:szCs w:val="20"/>
              </w:rPr>
              <w:t xml:space="preserve">$18,883</w:t>
            </w:r>
          </w:p>
        </w:tc>
        <w:tc>
          <w:tcPr>
            <w:tcW w:type="dxa" w:w="1600"/>
          </w:tcPr>
          <w:p>
            <w:r>
              <w:rPr>
                <w:b w:val="false"/>
                <w:bCs w:val="false"/>
                <w:color w:val="000000"/>
                <w:sz w:val="20"/>
                <w:szCs w:val="20"/>
              </w:rPr>
              <w:t xml:space="preserve">$20,994</w:t>
            </w:r>
          </w:p>
        </w:tc>
        <w:tc>
          <w:tcPr>
            <w:tcW w:type="dxa" w:w="1600"/>
          </w:tcPr>
          <w:p>
            <w:r>
              <w:rPr>
                <w:b w:val="false"/>
                <w:bCs w:val="false"/>
                <w:color w:val="000000"/>
                <w:sz w:val="20"/>
                <w:szCs w:val="20"/>
              </w:rPr>
              <w:t xml:space="preserve">19.3%</w:t>
            </w:r>
          </w:p>
        </w:tc>
        <w:tc>
          <w:tcPr>
            <w:tcW w:type="dxa" w:w="2000"/>
          </w:tcPr>
          <w:p>
            <w:r>
              <w:rPr>
                <w:b w:val="false"/>
                <w:bCs w:val="false"/>
                <w:color w:val="000000"/>
                <w:sz w:val="20"/>
                <w:szCs w:val="20"/>
              </w:rPr>
              <w:t xml:space="preserve">Larger datasets (weekly/daily)</w:t>
            </w:r>
          </w:p>
        </w:tc>
        <w:tc>
          <w:tcPr>
            <w:tcW w:type="dxa" w:w="2000"/>
          </w:tcPr>
          <w:p>
            <w:r>
              <w:rPr>
                <w:b w:val="false"/>
                <w:bCs w:val="false"/>
                <w:color w:val="000000"/>
                <w:sz w:val="20"/>
                <w:szCs w:val="20"/>
              </w:rPr>
              <w:t xml:space="preserve">Competitive, but less stable long-term</w:t>
            </w:r>
          </w:p>
        </w:tc>
      </w:tr>
    </w:tbl>
    <w:p>
      <w:pPr>
        <w:spacing w:after="200"/>
      </w:pPr>
    </w:p>
    <w:p>
      <w:pPr>
        <w:pStyle w:val="Heading1"/>
        <w:spacing w:after="120" w:before="240"/>
      </w:pPr>
      <w:r>
        <w:t xml:space="preserve">Top Anomalies Detected</w:t>
      </w:r>
    </w:p>
    <w:p>
      <w:pPr>
        <w:spacing w:after="120"/>
      </w:pPr>
      <w:r>
        <w:t xml:space="preserve">Our system automatically flags weeks where sales were unusually high or unusually low compared to the normal pattern. The three most significant anomalies this year were: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5400"/>
      </w:tblGrid>
      <w:tr>
        <w:tc>
          <w:tcPr>
            <w:tcW w:type="dxa" w:w="2400"/>
            <w:shd w:fill="2B6CB0" w:val="clear"/>
          </w:tcPr>
          <w:p>
            <w:r>
              <w:rPr>
                <w:b/>
                <w:bCs/>
                <w:color w:val="FFFFFF"/>
                <w:sz w:val="20"/>
                <w:szCs w:val="20"/>
              </w:rPr>
              <w:t xml:space="preserve">Date</w:t>
            </w:r>
          </w:p>
        </w:tc>
        <w:tc>
          <w:tcPr>
            <w:tcW w:type="dxa" w:w="3200"/>
            <w:shd w:fill="2B6CB0" w:val="clear"/>
          </w:tcPr>
          <w:p>
            <w:r>
              <w:rPr>
                <w:b/>
                <w:bCs/>
                <w:color w:val="FFFFFF"/>
                <w:sz w:val="20"/>
                <w:szCs w:val="20"/>
              </w:rPr>
              <w:t xml:space="preserve">What Happened</w:t>
            </w:r>
          </w:p>
        </w:tc>
        <w:tc>
          <w:tcPr>
            <w:tcW w:type="dxa" w:w="5400"/>
            <w:shd w:fill="2B6CB0" w:val="clear"/>
          </w:tcPr>
          <w:p>
            <w:r>
              <w:rPr>
                <w:b/>
                <w:bCs/>
                <w:color w:val="FFFFFF"/>
                <w:sz w:val="20"/>
                <w:szCs w:val="20"/>
              </w:rPr>
              <w:t xml:space="preserve">Likely Cause</w:t>
            </w:r>
          </w:p>
        </w:tc>
      </w:tr>
      <w:tr>
        <w:tc>
          <w:tcPr>
            <w:tcW w:type="dxa" w:w="2400"/>
          </w:tcPr>
          <w:p>
            <w:r>
              <w:rPr>
                <w:b w:val="false"/>
                <w:bCs w:val="false"/>
                <w:color w:val="000000"/>
                <w:sz w:val="20"/>
                <w:szCs w:val="20"/>
              </w:rPr>
              <w:t xml:space="preserve">Mar 22, 2015</w:t>
            </w:r>
          </w:p>
        </w:tc>
        <w:tc>
          <w:tcPr>
            <w:tcW w:type="dxa" w:w="3200"/>
          </w:tcPr>
          <w:p>
            <w:r>
              <w:rPr>
                <w:b w:val="false"/>
                <w:bCs w:val="false"/>
                <w:color w:val="000000"/>
                <w:sz w:val="20"/>
                <w:szCs w:val="20"/>
              </w:rPr>
              <w:t xml:space="preserve">Weekly sales reached ~$37,700, the single largest weekly spike in the whole dataset</w:t>
            </w:r>
          </w:p>
        </w:tc>
        <w:tc>
          <w:tcPr>
            <w:tcW w:type="dxa" w:w="5400"/>
          </w:tcPr>
          <w:p>
            <w:r>
              <w:rPr>
                <w:b w:val="false"/>
                <w:bCs w:val="false"/>
                <w:color w:val="000000"/>
                <w:sz w:val="20"/>
                <w:szCs w:val="20"/>
              </w:rPr>
              <w:t xml:space="preserve">Likely a large one-off bulk order or promotional event</w:t>
            </w:r>
          </w:p>
        </w:tc>
      </w:tr>
      <w:tr>
        <w:tc>
          <w:tcPr>
            <w:tcW w:type="dxa" w:w="2400"/>
          </w:tcPr>
          <w:p>
            <w:r>
              <w:rPr>
                <w:b w:val="false"/>
                <w:bCs w:val="false"/>
                <w:color w:val="000000"/>
                <w:sz w:val="20"/>
                <w:szCs w:val="20"/>
              </w:rPr>
              <w:t xml:space="preserve">Dec 2, 2018</w:t>
            </w:r>
          </w:p>
        </w:tc>
        <w:tc>
          <w:tcPr>
            <w:tcW w:type="dxa" w:w="3200"/>
          </w:tcPr>
          <w:p>
            <w:r>
              <w:rPr>
                <w:b w:val="false"/>
                <w:bCs w:val="false"/>
                <w:color w:val="000000"/>
                <w:sz w:val="20"/>
                <w:szCs w:val="20"/>
              </w:rPr>
              <w:t xml:space="preserve">Weekly sales jumped to ~$36,000, well above the normal range for that time of year</w:t>
            </w:r>
          </w:p>
        </w:tc>
        <w:tc>
          <w:tcPr>
            <w:tcW w:type="dxa" w:w="5400"/>
          </w:tcPr>
          <w:p>
            <w:r>
              <w:rPr>
                <w:b w:val="false"/>
                <w:bCs w:val="false"/>
                <w:color w:val="000000"/>
                <w:sz w:val="20"/>
                <w:szCs w:val="20"/>
              </w:rPr>
              <w:t xml:space="preserve">Holiday shopping season sales spike</w:t>
            </w:r>
          </w:p>
        </w:tc>
      </w:tr>
      <w:tr>
        <w:tc>
          <w:tcPr>
            <w:tcW w:type="dxa" w:w="2400"/>
          </w:tcPr>
          <w:p>
            <w:r>
              <w:rPr>
                <w:b w:val="false"/>
                <w:bCs w:val="false"/>
                <w:color w:val="000000"/>
                <w:sz w:val="20"/>
                <w:szCs w:val="20"/>
              </w:rPr>
              <w:t xml:space="preserve">Nov 13, 2016</w:t>
            </w:r>
          </w:p>
        </w:tc>
        <w:tc>
          <w:tcPr>
            <w:tcW w:type="dxa" w:w="3200"/>
          </w:tcPr>
          <w:p>
            <w:r>
              <w:rPr>
                <w:b w:val="false"/>
                <w:bCs w:val="false"/>
                <w:color w:val="000000"/>
                <w:sz w:val="20"/>
                <w:szCs w:val="20"/>
              </w:rPr>
              <w:t xml:space="preserve">Weekly sales reached ~$27,965, confirmed as anomalous by both detection methods</w:t>
            </w:r>
          </w:p>
        </w:tc>
        <w:tc>
          <w:tcPr>
            <w:tcW w:type="dxa" w:w="5400"/>
          </w:tcPr>
          <w:p>
            <w:r>
              <w:rPr>
                <w:b w:val="false"/>
                <w:bCs w:val="false"/>
                <w:color w:val="000000"/>
                <w:sz w:val="20"/>
                <w:szCs w:val="20"/>
              </w:rPr>
              <w:t xml:space="preserve">Black Friday holiday sales spike</w:t>
            </w:r>
          </w:p>
        </w:tc>
      </w:tr>
    </w:tbl>
    <w:p>
      <w:pPr>
        <w:spacing w:after="200"/>
      </w:pPr>
    </w:p>
    <w:p>
      <w:pPr>
        <w:pStyle w:val="Heading1"/>
        <w:spacing w:after="120" w:before="240"/>
      </w:pPr>
      <w:r>
        <w:t xml:space="preserve">Product Demand Segmentation</w:t>
      </w:r>
    </w:p>
    <w:p>
      <w:pPr>
        <w:spacing w:after="120"/>
      </w:pPr>
      <w:r>
        <w:t xml:space="preserve">We grouped our product sub-categories into four demand patterns based on how much they sell, how fast they're growing, and how unpredictable their sales are. Each group calls for a different stocking approach:</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5200"/>
      </w:tblGrid>
      <w:tr>
        <w:tc>
          <w:tcPr>
            <w:tcW w:type="dxa" w:w="2600"/>
            <w:shd w:fill="2B6CB0" w:val="clear"/>
          </w:tcPr>
          <w:p>
            <w:r>
              <w:rPr>
                <w:b/>
                <w:bCs/>
                <w:color w:val="FFFFFF"/>
                <w:sz w:val="20"/>
                <w:szCs w:val="20"/>
              </w:rPr>
              <w:t xml:space="preserve">Demand Segment</w:t>
            </w:r>
          </w:p>
        </w:tc>
        <w:tc>
          <w:tcPr>
            <w:tcW w:type="dxa" w:w="3200"/>
            <w:shd w:fill="2B6CB0" w:val="clear"/>
          </w:tcPr>
          <w:p>
            <w:r>
              <w:rPr>
                <w:b/>
                <w:bCs/>
                <w:color w:val="FFFFFF"/>
                <w:sz w:val="20"/>
                <w:szCs w:val="20"/>
              </w:rPr>
              <w:t xml:space="preserve">Example Products</w:t>
            </w:r>
          </w:p>
        </w:tc>
        <w:tc>
          <w:tcPr>
            <w:tcW w:type="dxa" w:w="5200"/>
            <w:shd w:fill="2B6CB0" w:val="clear"/>
          </w:tcPr>
          <w:p>
            <w:r>
              <w:rPr>
                <w:b/>
                <w:bCs/>
                <w:color w:val="FFFFFF"/>
                <w:sz w:val="20"/>
                <w:szCs w:val="20"/>
              </w:rPr>
              <w:t xml:space="preserve">Recommended Stocking Strategy</w:t>
            </w:r>
          </w:p>
        </w:tc>
      </w:tr>
      <w:tr>
        <w:tc>
          <w:tcPr>
            <w:tcW w:type="dxa" w:w="2600"/>
          </w:tcPr>
          <w:p>
            <w:r>
              <w:rPr>
                <w:b w:val="false"/>
                <w:bCs w:val="false"/>
                <w:color w:val="000000"/>
                <w:sz w:val="20"/>
                <w:szCs w:val="20"/>
              </w:rPr>
              <w:t xml:space="preserve">High Volume, Stable Demand</w:t>
            </w:r>
          </w:p>
        </w:tc>
        <w:tc>
          <w:tcPr>
            <w:tcW w:type="dxa" w:w="3200"/>
          </w:tcPr>
          <w:p>
            <w:r>
              <w:rPr>
                <w:b w:val="false"/>
                <w:bCs w:val="false"/>
                <w:color w:val="000000"/>
                <w:sz w:val="20"/>
                <w:szCs w:val="20"/>
              </w:rPr>
              <w:t xml:space="preserve">Binders, Chairs, Machines, Phones, Storage, Tables</w:t>
            </w:r>
          </w:p>
        </w:tc>
        <w:tc>
          <w:tcPr>
            <w:tcW w:type="dxa" w:w="5200"/>
          </w:tcPr>
          <w:p>
            <w:r>
              <w:rPr>
                <w:b w:val="false"/>
                <w:bCs w:val="false"/>
                <w:color w:val="000000"/>
                <w:sz w:val="20"/>
                <w:szCs w:val="20"/>
              </w:rPr>
              <w:t xml:space="preserve">Keep steady stock levels with simple automatic reordering. Low risk, no need to over-buy.</w:t>
            </w:r>
          </w:p>
        </w:tc>
      </w:tr>
      <w:tr>
        <w:tc>
          <w:tcPr>
            <w:tcW w:type="dxa" w:w="2600"/>
          </w:tcPr>
          <w:p>
            <w:r>
              <w:rPr>
                <w:b w:val="false"/>
                <w:bCs w:val="false"/>
                <w:color w:val="000000"/>
                <w:sz w:val="20"/>
                <w:szCs w:val="20"/>
              </w:rPr>
              <w:t xml:space="preserve">Growing Demand</w:t>
            </w:r>
          </w:p>
        </w:tc>
        <w:tc>
          <w:tcPr>
            <w:tcW w:type="dxa" w:w="3200"/>
          </w:tcPr>
          <w:p>
            <w:r>
              <w:rPr>
                <w:b w:val="false"/>
                <w:bCs w:val="false"/>
                <w:color w:val="000000"/>
                <w:sz w:val="20"/>
                <w:szCs w:val="20"/>
              </w:rPr>
              <w:t xml:space="preserve">Copiers</w:t>
            </w:r>
          </w:p>
        </w:tc>
        <w:tc>
          <w:tcPr>
            <w:tcW w:type="dxa" w:w="5200"/>
          </w:tcPr>
          <w:p>
            <w:r>
              <w:rPr>
                <w:b w:val="false"/>
                <w:bCs w:val="false"/>
                <w:color w:val="000000"/>
                <w:sz w:val="20"/>
                <w:szCs w:val="20"/>
              </w:rPr>
              <w:t xml:space="preserve">Increase stock ahead of the growth curve. Review stock levels monthly instead of quarterly.</w:t>
            </w:r>
          </w:p>
        </w:tc>
      </w:tr>
      <w:tr>
        <w:tc>
          <w:tcPr>
            <w:tcW w:type="dxa" w:w="2600"/>
          </w:tcPr>
          <w:p>
            <w:r>
              <w:rPr>
                <w:b w:val="false"/>
                <w:bCs w:val="false"/>
                <w:color w:val="000000"/>
                <w:sz w:val="20"/>
                <w:szCs w:val="20"/>
              </w:rPr>
              <w:t xml:space="preserve">Declining / Slow-Growth Demand</w:t>
            </w:r>
          </w:p>
        </w:tc>
        <w:tc>
          <w:tcPr>
            <w:tcW w:type="dxa" w:w="3200"/>
          </w:tcPr>
          <w:p>
            <w:r>
              <w:rPr>
                <w:b w:val="false"/>
                <w:bCs w:val="false"/>
                <w:color w:val="000000"/>
                <w:sz w:val="20"/>
                <w:szCs w:val="20"/>
              </w:rPr>
              <w:t xml:space="preserve">Supplies</w:t>
            </w:r>
          </w:p>
        </w:tc>
        <w:tc>
          <w:tcPr>
            <w:tcW w:type="dxa" w:w="5200"/>
          </w:tcPr>
          <w:p>
            <w:r>
              <w:rPr>
                <w:b w:val="false"/>
                <w:bCs w:val="false"/>
                <w:color w:val="000000"/>
                <w:sz w:val="20"/>
                <w:szCs w:val="20"/>
              </w:rPr>
              <w:t xml:space="preserve">Reduce inventory gradually. Avoid large bulk orders; consider clearance promotions.</w:t>
            </w:r>
          </w:p>
        </w:tc>
      </w:tr>
      <w:tr>
        <w:tc>
          <w:tcPr>
            <w:tcW w:type="dxa" w:w="2600"/>
          </w:tcPr>
          <w:p>
            <w:r>
              <w:rPr>
                <w:b w:val="false"/>
                <w:bCs w:val="false"/>
                <w:color w:val="000000"/>
                <w:sz w:val="20"/>
                <w:szCs w:val="20"/>
              </w:rPr>
              <w:t xml:space="preserve">Low Volume, High Volatility</w:t>
            </w:r>
          </w:p>
        </w:tc>
        <w:tc>
          <w:tcPr>
            <w:tcW w:type="dxa" w:w="3200"/>
          </w:tcPr>
          <w:p>
            <w:r>
              <w:rPr>
                <w:b w:val="false"/>
                <w:bCs w:val="false"/>
                <w:color w:val="000000"/>
                <w:sz w:val="20"/>
                <w:szCs w:val="20"/>
              </w:rPr>
              <w:t xml:space="preserve">Accessories, Appliances, Art, Bookcases, Envelopes, Fasteners, Furnishings, Labels, Paper</w:t>
            </w:r>
          </w:p>
        </w:tc>
        <w:tc>
          <w:tcPr>
            <w:tcW w:type="dxa" w:w="5200"/>
          </w:tcPr>
          <w:p>
            <w:r>
              <w:rPr>
                <w:b w:val="false"/>
                <w:bCs w:val="false"/>
                <w:color w:val="000000"/>
                <w:sz w:val="20"/>
                <w:szCs w:val="20"/>
              </w:rPr>
              <w:t xml:space="preserve">Order in small, frequent batches. Avoid large upfront commitments; watch closely for sudden spikes.</w:t>
            </w:r>
          </w:p>
        </w:tc>
      </w:tr>
    </w:tbl>
    <w:p>
      <w:pPr>
        <w:spacing w:after="200"/>
      </w:pPr>
    </w:p>
    <w:p>
      <w:pPr>
        <w:pStyle w:val="Heading1"/>
        <w:spacing w:after="120" w:before="240"/>
      </w:pPr>
      <w:r>
        <w:t xml:space="preserve">Business Recommendations</w:t>
      </w:r>
    </w:p>
    <w:p>
      <w:pPr>
        <w:pStyle w:val="ListParagraph"/>
        <w:numPr>
          <w:ilvl w:val="0"/>
          <w:numId w:val="1"/>
        </w:numPr>
        <w:spacing w:after="80"/>
      </w:pPr>
      <w:r>
        <w:t xml:space="preserve">Build extra holiday-season inventory buffer for Technology and Furniture ahead of November, since these categories drive the largest revenue and the data shows a sharp, repeatable spike every November/December — avoid stockouts during the highest-value weeks of the year.</w:t>
      </w:r>
    </w:p>
    <w:p>
      <w:pPr>
        <w:pStyle w:val="ListParagraph"/>
        <w:numPr>
          <w:ilvl w:val="0"/>
          <w:numId w:val="1"/>
        </w:numPr>
        <w:spacing w:after="80"/>
      </w:pPr>
      <w:r>
        <w:t xml:space="preserve">Prioritize the East region for expansion investment. It is the only region with positive sales growth every year on record, making it the safest bet for allocating additional marketing or inventory budget compared to regions with more volatile, boom-or-bust growth.</w:t>
      </w:r>
    </w:p>
    <w:p>
      <w:pPr>
        <w:pStyle w:val="ListParagraph"/>
        <w:numPr>
          <w:ilvl w:val="0"/>
          <w:numId w:val="1"/>
        </w:numPr>
        <w:spacing w:after="80"/>
      </w:pPr>
      <w:r>
        <w:t xml:space="preserve">Adopt segment-specific stocking rules rather than one policy for all products: tie up less capital in the “Declining” and “Low Volume, High Volatility” groups (which make up the majority of our sub-categories), and shift that freed-up budget toward Copiers, our one clear “Growing Demand” item.</w:t>
      </w:r>
    </w:p>
    <w:p>
      <w:pPr>
        <w:pStyle w:val="Heading1"/>
        <w:spacing w:after="120" w:before="240"/>
      </w:pPr>
      <w:r>
        <w:t xml:space="preserve">Risk &amp; Limitation</w:t>
      </w:r>
    </w:p>
    <w:p>
      <w:pPr>
        <w:spacing w:after="120"/>
      </w:pPr>
      <w:r>
        <w:t xml:space="preserve">This system is built on historical sales patterns. It assumes the future will broadly resemble the past four years — it cannot anticipate a genuinely new event with no precedent in the data (a supply shock, a major competitor entering the market, a new product launch, etc.). Forecasts and anomaly flags should be reviewed by a person familiar with current business conditions before being used for major purchasing decisions, especially outside the normal holiday pattern the model has learned well.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2026-07-13T09:43:55.736Z</dcterms:created>
  <dcterms:modified xsi:type="dcterms:W3CDTF">2026-07-13T09:43:55.747Z</dcterms:modified>
</cp:coreProperties>
</file>

<file path=docProps/custom.xml><?xml version="1.0" encoding="utf-8"?>
<Properties xmlns="http://schemas.openxmlformats.org/officeDocument/2006/custom-properties" xmlns:vt="http://schemas.openxmlformats.org/officeDocument/2006/docPropsVTypes"/>
</file>