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sz w:val="22"/>
        </w:rPr>
        <w:t>Employment Dispute Case File</w:t>
      </w:r>
    </w:p>
    <w:p>
      <w:r>
        <w:rPr>
          <w:rFonts w:ascii="Calibri" w:hAnsi="Calibri"/>
          <w:b/>
          <w:sz w:val="22"/>
        </w:rPr>
        <w:t xml:space="preserve">Case Number: </w:t>
      </w:r>
      <w:r>
        <w:rPr>
          <w:rFonts w:ascii="Calibri" w:hAnsi="Calibri"/>
          <w:sz w:val="22"/>
        </w:rPr>
        <w:t>LM-2026-EMP-001</w:t>
        <w:br/>
      </w:r>
      <w:r>
        <w:rPr>
          <w:rFonts w:ascii="Calibri" w:hAnsi="Calibri"/>
          <w:b/>
          <w:sz w:val="22"/>
        </w:rPr>
        <w:t xml:space="preserve">Client: </w:t>
      </w:r>
      <w:r>
        <w:rPr>
          <w:rFonts w:ascii="Calibri" w:hAnsi="Calibri"/>
          <w:sz w:val="22"/>
        </w:rPr>
        <w:t>Sarah Johnson</w:t>
        <w:br/>
      </w:r>
      <w:r>
        <w:rPr>
          <w:rFonts w:ascii="Calibri" w:hAnsi="Calibri"/>
          <w:b/>
          <w:sz w:val="22"/>
        </w:rPr>
        <w:t xml:space="preserve">Case Type: </w:t>
      </w:r>
      <w:r>
        <w:rPr>
          <w:rFonts w:ascii="Calibri" w:hAnsi="Calibri"/>
          <w:sz w:val="22"/>
        </w:rPr>
        <w:t>Wrongful Termination and Workplace Discrimination</w:t>
        <w:br/>
      </w:r>
    </w:p>
    <w:p>
      <w:pPr>
        <w:pStyle w:val="Heading2"/>
      </w:pPr>
      <w:r>
        <w:rPr>
          <w:rFonts w:ascii="Calibri" w:hAnsi="Calibri"/>
          <w:sz w:val="22"/>
        </w:rPr>
        <w:t>Case Summary</w:t>
      </w:r>
    </w:p>
    <w:p>
      <w:r>
        <w:rPr>
          <w:rFonts w:ascii="Calibri" w:hAnsi="Calibri"/>
          <w:sz w:val="22"/>
        </w:rPr>
        <w:t>Sarah Johnson worked as a Senior Software Engineer at TechNova Solutions for six years.</w:t>
        <w:br/>
        <w:t>On 3 June 2026, she filed a formal complaint with Human Resources alleging repeated gender</w:t>
        <w:br/>
        <w:t>discrimination, exclusion from leadership meetings, and inappropriate comments from her manager.</w:t>
        <w:br/>
        <w:t>Two weeks later she received a termination letter citing 'poor performance'. Her last three</w:t>
        <w:br/>
        <w:t>performance reviews rated her as 'Exceeds Expectations'. The client believes the termination was</w:t>
        <w:br/>
        <w:t>retaliation for reporting workplace misconduct.</w:t>
      </w:r>
    </w:p>
    <w:p>
      <w:pPr>
        <w:pStyle w:val="Heading2"/>
      </w:pPr>
      <w:r>
        <w:rPr>
          <w:rFonts w:ascii="Calibri" w:hAnsi="Calibri"/>
          <w:sz w:val="22"/>
        </w:rPr>
        <w:t>Available Evidence</w:t>
      </w:r>
    </w:p>
    <w:p>
      <w:pPr>
        <w:pStyle w:val="ListBullet"/>
      </w:pPr>
      <w:r>
        <w:rPr>
          <w:rFonts w:ascii="Calibri" w:hAnsi="Calibri"/>
          <w:sz w:val="22"/>
        </w:rPr>
        <w:t>Employment contract signed on 10 January 2020.</w:t>
      </w:r>
    </w:p>
    <w:p>
      <w:pPr>
        <w:pStyle w:val="ListBullet"/>
      </w:pPr>
      <w:r>
        <w:rPr>
          <w:rFonts w:ascii="Calibri" w:hAnsi="Calibri"/>
          <w:sz w:val="22"/>
        </w:rPr>
        <w:t>Performance reviews from 2023–2025 showing high ratings.</w:t>
      </w:r>
    </w:p>
    <w:p>
      <w:pPr>
        <w:pStyle w:val="ListBullet"/>
      </w:pPr>
      <w:r>
        <w:rPr>
          <w:rFonts w:ascii="Calibri" w:hAnsi="Calibri"/>
          <w:sz w:val="22"/>
        </w:rPr>
        <w:t>HR complaint submitted on 3 June 2026.</w:t>
      </w:r>
    </w:p>
    <w:p>
      <w:pPr>
        <w:pStyle w:val="ListBullet"/>
      </w:pPr>
      <w:r>
        <w:rPr>
          <w:rFonts w:ascii="Calibri" w:hAnsi="Calibri"/>
          <w:sz w:val="22"/>
        </w:rPr>
        <w:t>Termination letter dated 17 June 2026.</w:t>
      </w:r>
    </w:p>
    <w:p>
      <w:pPr>
        <w:pStyle w:val="ListBullet"/>
      </w:pPr>
      <w:r>
        <w:rPr>
          <w:rFonts w:ascii="Calibri" w:hAnsi="Calibri"/>
          <w:sz w:val="22"/>
        </w:rPr>
        <w:t>Email correspondence between the client, HR, and the manager.</w:t>
      </w:r>
    </w:p>
    <w:p>
      <w:pPr>
        <w:pStyle w:val="ListBullet"/>
      </w:pPr>
      <w:r>
        <w:rPr>
          <w:rFonts w:ascii="Calibri" w:hAnsi="Calibri"/>
          <w:sz w:val="22"/>
        </w:rPr>
        <w:t>Witness statement from colleague John Davis confirming discriminatory remarks.</w:t>
      </w:r>
    </w:p>
    <w:p>
      <w:pPr>
        <w:pStyle w:val="Heading2"/>
      </w:pPr>
      <w:r>
        <w:rPr>
          <w:rFonts w:ascii="Calibri" w:hAnsi="Calibri"/>
          <w:sz w:val="22"/>
        </w:rPr>
        <w:t>Known Risks</w:t>
      </w:r>
    </w:p>
    <w:p>
      <w:r>
        <w:rPr>
          <w:rFonts w:ascii="Calibri" w:hAnsi="Calibri"/>
          <w:sz w:val="22"/>
        </w:rPr>
        <w:t>The preliminary hearing is scheduled in five days. Internal HR investigation records have not</w:t>
        <w:br/>
        <w:t>yet been produced. The employer claims poor performance despite positive evaluations.</w:t>
      </w:r>
    </w:p>
    <w:p>
      <w:pPr>
        <w:pStyle w:val="Heading2"/>
      </w:pPr>
      <w:r>
        <w:rPr>
          <w:rFonts w:ascii="Calibri" w:hAnsi="Calibri"/>
          <w:sz w:val="22"/>
        </w:rPr>
        <w:t>Requested AI Analysis</w:t>
      </w:r>
    </w:p>
    <w:p>
      <w:r>
        <w:rPr>
          <w:rFonts w:ascii="Calibri" w:hAnsi="Calibri"/>
          <w:sz w:val="22"/>
        </w:rPr>
        <w:t>Identify procedural violations, retrieve relevant employment law and precedents,</w:t>
        <w:br/>
        <w:t>highlight missing evidence, assess litigation risks, and recommend the next best legal action</w:t>
        <w:br/>
        <w:t>with supporting reasoning and confidence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