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93"/>
      </w:tblGrid>
      <w:tr>
        <w:tc>
          <w:tcPr>
            <w:tcW w:type="dxa" w:w="9893"/>
            <w:shd w:fill="0F172A"/>
            <w:tcMar>
              <w:top w:w="280" w:type="dxa"/>
              <w:bottom w:w="280" w:type="dxa"/>
              <w:left w:w="320" w:type="dxa"/>
              <w:right w:w="320" w:type="dxa"/>
            </w:tcMar>
          </w:tcPr>
          <w:p>
            <w:pPr>
              <w:spacing w:after="60"/>
            </w:pPr>
            <w:r>
              <w:rPr>
                <w:b/>
                <w:color w:val="38BDF8"/>
                <w:sz w:val="17"/>
              </w:rPr>
              <w:t>HACKATHON EXECUTIVE SYNOPSIS  •  CIRCULAR ECONOMY &amp; FINTECH</w:t>
            </w:r>
          </w:p>
          <w:p>
            <w:pPr>
              <w:spacing w:after="80"/>
            </w:pPr>
            <w:r>
              <w:rPr>
                <w:b/>
                <w:color w:val="FFFFFF"/>
                <w:sz w:val="40"/>
              </w:rPr>
              <w:t>FixGrid: Decentralized Trust &amp; Warranty Infrastructure</w:t>
            </w:r>
          </w:p>
          <w:p>
            <w:pPr>
              <w:spacing w:after="160"/>
            </w:pPr>
            <w:r>
              <w:rPr>
                <w:color w:val="94A3B8"/>
                <w:sz w:val="21"/>
              </w:rPr>
              <w:t>Rewiring the $15.2B Local Repair Economy Through Milestone Smart Escrow &amp; Platform Guarantees</w:t>
            </w:r>
          </w:p>
          <w:p>
            <w:pPr>
              <w:spacing w:after="0"/>
            </w:pPr>
            <w:r>
              <w:rPr>
                <w:color w:val="CBD5E1"/>
                <w:sz w:val="19"/>
              </w:rPr>
              <w:t xml:space="preserve">Live Production Platform: </w:t>
            </w:r>
            <w:r>
              <w:rPr>
                <w:b/>
                <w:color w:val="38BDF8"/>
                <w:sz w:val="20"/>
              </w:rPr>
              <w:t>www.vytron.me</w:t>
            </w:r>
          </w:p>
        </w:tc>
      </w:tr>
    </w:tbl>
    <w:p>
      <w:pPr>
        <w:spacing w:before="240" w:after="40"/>
      </w:pPr>
      <w:r>
        <w:rPr>
          <w:b/>
          <w:color w:val="0284C7"/>
          <w:sz w:val="17"/>
        </w:rPr>
        <w:t>OVERVIEW</w:t>
      </w:r>
    </w:p>
    <w:p>
      <w:pPr>
        <w:spacing w:before="0" w:after="120"/>
      </w:pPr>
      <w:r>
        <w:rPr>
          <w:b/>
          <w:color w:val="0F172A"/>
          <w:sz w:val="28"/>
        </w:rPr>
        <w:t>1. Executive Summary</w:t>
      </w:r>
    </w:p>
    <w:tbl>
      <w:tblPr>
        <w:tblW w:type="auto" w:w="0"/>
        <w:jc w:val="center"/>
        <w:tblLook w:firstColumn="1" w:firstRow="1" w:lastColumn="0" w:lastRow="0" w:noHBand="0" w:noVBand="1" w:val="04A0"/>
      </w:tblPr>
      <w:tblGrid>
        <w:gridCol w:w="9893"/>
      </w:tblGrid>
      <w:tr>
        <w:tc>
          <w:tcPr>
            <w:tcW w:type="dxa" w:w="9893"/>
            <w:shd w:fill="F8FAFC"/>
            <w:tcBorders>
              <w:top w:val="none" w:sz="16" w:space="0" w:color="0284C7"/>
              <w:left w:val="single" w:sz="16" w:space="0" w:color="0284C7"/>
              <w:bottom w:val="none" w:sz="16" w:space="0" w:color="0284C7"/>
              <w:right w:val="none" w:sz="16" w:space="0" w:color="0284C7"/>
            </w:tcBorders>
            <w:tcMar>
              <w:top w:w="160" w:type="dxa"/>
              <w:bottom w:w="160" w:type="dxa"/>
              <w:left w:w="240" w:type="dxa"/>
              <w:right w:w="240" w:type="dxa"/>
            </w:tcMar>
          </w:tcPr>
          <w:p>
            <w:pPr>
              <w:spacing w:after="80"/>
            </w:pPr>
            <w:r>
              <w:rPr>
                <w:color w:val="1E293B"/>
              </w:rPr>
              <w:t xml:space="preserve">Every year, millions of smartphones, home appliances, wearables, and electronics are discarded prematurely. Consumers spend hundreds of billions of rupees replacing devices that could be repaired for less than 15% of replacement cost. This throwaway cycle is not driven by laziness—it is fueled by an acute </w:t>
            </w:r>
            <w:r>
              <w:rPr>
                <w:b/>
              </w:rPr>
              <w:t>Trust and Information Asymmetry</w:t>
            </w:r>
            <w:r>
              <w:t>. Consumers fear arbitrary price-gouging, counterfeit components, component theft, and zero post-repair warranty. Meanwhile, skilled neighborhood technicians—the true frontline artisans of the circular economy—remain digitally invisible and economically vulnerable.</w:t>
            </w:r>
          </w:p>
          <w:p>
            <w:pPr>
              <w:spacing w:after="0"/>
            </w:pPr>
            <w:r>
              <w:rPr>
                <w:color w:val="1E293B"/>
              </w:rPr>
              <w:t xml:space="preserve">FixGrid is a full-stack digital platform that bridges this void. By integrating a </w:t>
            </w:r>
            <w:r>
              <w:rPr>
                <w:b/>
              </w:rPr>
              <w:t>Milestone-Based Smart Escrow Engine, a Platform-Backed 5-Day Guarantee (FixGrid Shield), and Verified Digital Storefronts with Transparent Rate Cards</w:t>
            </w:r>
            <w:r>
              <w:t xml:space="preserve">, FixGrid transforms fragmented street repairs into an accountable, standardized service experience. Crucially, FixGrid is not a concept: it is fully functional and live in production at </w:t>
            </w:r>
            <w:r>
              <w:rPr>
                <w:b/>
                <w:color w:val="0284C7"/>
              </w:rPr>
              <w:t>www.vytron.me</w:t>
            </w:r>
            <w:r>
              <w:t>.</w:t>
            </w:r>
          </w:p>
        </w:tc>
      </w:tr>
    </w:tbl>
    <w:p>
      <w:pPr>
        <w:spacing w:before="240" w:after="40"/>
      </w:pPr>
      <w:r>
        <w:rPr>
          <w:b/>
          <w:color w:val="0284C7"/>
          <w:sz w:val="17"/>
        </w:rPr>
        <w:t>THE CRISIS</w:t>
      </w:r>
    </w:p>
    <w:p>
      <w:pPr>
        <w:spacing w:before="0" w:after="120"/>
      </w:pPr>
      <w:r>
        <w:rPr>
          <w:b/>
          <w:color w:val="0F172A"/>
          <w:sz w:val="28"/>
        </w:rPr>
        <w:t>2. Problem Statement: The Broken Economics of Repair</w:t>
      </w:r>
    </w:p>
    <w:p>
      <w:r>
        <w:t xml:space="preserve">The modern repair market suffers from the classic </w:t>
      </w:r>
      <w:r>
        <w:rPr>
          <w:b/>
        </w:rPr>
        <w:t>Akerlof 'Market for Lemons'</w:t>
      </w:r>
      <w:r>
        <w:t xml:space="preserve"> problem. In the absence of institutional verification, bad actors drive honest craftsmen out of business, forcing consumers into high-waste consumption loops:</w:t>
      </w:r>
    </w:p>
    <w:tbl>
      <w:tblPr>
        <w:tblW w:type="auto" w:w="0"/>
        <w:jc w:val="center"/>
        <w:tblLook w:firstColumn="1" w:firstRow="1" w:lastColumn="0" w:lastRow="0" w:noHBand="0" w:noVBand="1" w:val="04A0"/>
      </w:tblPr>
      <w:tblGrid>
        <w:gridCol w:w="3298"/>
        <w:gridCol w:w="3298"/>
        <w:gridCol w:w="3298"/>
      </w:tblGrid>
      <w:tr>
        <w:tc>
          <w:tcPr>
            <w:tcW w:type="dxa" w:w="3298"/>
            <w:shd w:fill="FEF2F2"/>
            <w:tcBorders>
              <w:top w:val="single" w:sz="6" w:space="0" w:color="DC2626"/>
              <w:left w:val="single" w:sz="6" w:space="0" w:color="DC2626"/>
              <w:bottom w:val="single" w:sz="6" w:space="0" w:color="DC2626"/>
              <w:right w:val="single" w:sz="6" w:space="0" w:color="DC2626"/>
            </w:tcBorders>
            <w:tcMar>
              <w:top w:w="160" w:type="dxa"/>
              <w:bottom w:w="160" w:type="dxa"/>
              <w:left w:w="160" w:type="dxa"/>
              <w:right w:w="160" w:type="dxa"/>
            </w:tcMar>
          </w:tcPr>
          <w:p>
            <w:pPr>
              <w:spacing w:after="40"/>
            </w:pPr>
            <w:r>
              <w:rPr>
                <w:b/>
                <w:sz w:val="19"/>
              </w:rPr>
              <w:t>The Consumer Trust Void</w:t>
            </w:r>
          </w:p>
          <w:p>
            <w:pPr>
              <w:spacing w:after="20"/>
            </w:pPr>
            <w:r>
              <w:rPr>
                <w:b/>
                <w:color w:val="DC2626"/>
                <w:sz w:val="32"/>
              </w:rPr>
              <w:t>84%</w:t>
            </w:r>
          </w:p>
          <w:p>
            <w:pPr>
              <w:spacing w:after="80"/>
            </w:pPr>
            <w:r>
              <w:rPr>
                <w:color w:val="64748B"/>
                <w:sz w:val="16"/>
              </w:rPr>
              <w:t>Fear arbitrary pricing &amp; fake parts</w:t>
            </w:r>
          </w:p>
          <w:p>
            <w:pPr>
              <w:spacing w:after="0"/>
            </w:pPr>
            <w:r>
              <w:rPr>
                <w:color w:val="334155"/>
                <w:sz w:val="17"/>
              </w:rPr>
              <w:t>Consumers avoid local repair due to fear of exorbitant quotes, component swapping, and zero post-repair recourse.</w:t>
            </w:r>
          </w:p>
        </w:tc>
        <w:tc>
          <w:tcPr>
            <w:tcW w:type="dxa" w:w="3298"/>
            <w:shd w:fill="FFFBEB"/>
            <w:tcBorders>
              <w:top w:val="single" w:sz="6" w:space="0" w:color="D97706"/>
              <w:left w:val="single" w:sz="6" w:space="0" w:color="D97706"/>
              <w:bottom w:val="single" w:sz="6" w:space="0" w:color="D97706"/>
              <w:right w:val="single" w:sz="6" w:space="0" w:color="D97706"/>
            </w:tcBorders>
            <w:tcMar>
              <w:top w:w="160" w:type="dxa"/>
              <w:bottom w:w="160" w:type="dxa"/>
              <w:left w:w="160" w:type="dxa"/>
              <w:right w:w="160" w:type="dxa"/>
            </w:tcMar>
          </w:tcPr>
          <w:p>
            <w:pPr>
              <w:spacing w:after="40"/>
            </w:pPr>
            <w:r>
              <w:rPr>
                <w:b/>
                <w:sz w:val="19"/>
              </w:rPr>
              <w:t>The Artisan Visibility Crisis</w:t>
            </w:r>
          </w:p>
          <w:p>
            <w:pPr>
              <w:spacing w:after="20"/>
            </w:pPr>
            <w:r>
              <w:rPr>
                <w:b/>
                <w:color w:val="D97706"/>
                <w:sz w:val="32"/>
              </w:rPr>
              <w:t>92%</w:t>
            </w:r>
          </w:p>
          <w:p>
            <w:pPr>
              <w:spacing w:after="80"/>
            </w:pPr>
            <w:r>
              <w:rPr>
                <w:color w:val="64748B"/>
                <w:sz w:val="16"/>
              </w:rPr>
              <w:t>Lack digital presence or storefront</w:t>
            </w:r>
          </w:p>
          <w:p>
            <w:pPr>
              <w:spacing w:after="0"/>
            </w:pPr>
            <w:r>
              <w:rPr>
                <w:color w:val="334155"/>
                <w:sz w:val="17"/>
              </w:rPr>
              <w:t>Skilled neighborhood technicians operate &lt; 500m away, but lack web presence, verified reputation ledgers, or formal booking tools.</w:t>
            </w:r>
          </w:p>
        </w:tc>
        <w:tc>
          <w:tcPr>
            <w:tcW w:type="dxa" w:w="3298"/>
            <w:shd w:fill="F0FDF4"/>
            <w:tcBorders>
              <w:top w:val="single" w:sz="6" w:space="0" w:color="059669"/>
              <w:left w:val="single" w:sz="6" w:space="0" w:color="059669"/>
              <w:bottom w:val="single" w:sz="6" w:space="0" w:color="059669"/>
              <w:right w:val="single" w:sz="6" w:space="0" w:color="059669"/>
            </w:tcBorders>
            <w:tcMar>
              <w:top w:w="160" w:type="dxa"/>
              <w:bottom w:w="160" w:type="dxa"/>
              <w:left w:w="160" w:type="dxa"/>
              <w:right w:w="160" w:type="dxa"/>
            </w:tcMar>
          </w:tcPr>
          <w:p>
            <w:pPr>
              <w:spacing w:after="40"/>
            </w:pPr>
            <w:r>
              <w:rPr>
                <w:b/>
                <w:sz w:val="19"/>
              </w:rPr>
              <w:t>The Climate &amp; E-Waste Catastrophe</w:t>
            </w:r>
          </w:p>
          <w:p>
            <w:pPr>
              <w:spacing w:after="20"/>
            </w:pPr>
            <w:r>
              <w:rPr>
                <w:b/>
                <w:color w:val="059669"/>
                <w:sz w:val="32"/>
              </w:rPr>
              <w:t>1.71M+</w:t>
            </w:r>
          </w:p>
          <w:p>
            <w:pPr>
              <w:spacing w:after="80"/>
            </w:pPr>
            <w:r>
              <w:rPr>
                <w:color w:val="64748B"/>
                <w:sz w:val="16"/>
              </w:rPr>
              <w:t>Tonnes of e-waste in India yearly</w:t>
            </w:r>
          </w:p>
          <w:p>
            <w:pPr>
              <w:spacing w:after="0"/>
            </w:pPr>
            <w:r>
              <w:rPr>
                <w:color w:val="334155"/>
                <w:sz w:val="17"/>
              </w:rPr>
              <w:t>India is the #3 global e-waste producer. Discarding phones and appliances wastes up to 80% of embodied manufacturing carbon.</w:t>
            </w:r>
          </w:p>
        </w:tc>
      </w:tr>
    </w:tbl>
    <w:p>
      <w:pPr>
        <w:spacing w:before="240" w:after="40"/>
      </w:pPr>
      <w:r>
        <w:rPr>
          <w:b/>
          <w:color w:val="0284C7"/>
          <w:sz w:val="17"/>
        </w:rPr>
        <w:t>PRODUCT ARCHITECTURE</w:t>
      </w:r>
    </w:p>
    <w:p>
      <w:pPr>
        <w:spacing w:before="0" w:after="120"/>
      </w:pPr>
      <w:r>
        <w:rPr>
          <w:b/>
          <w:color w:val="0F172A"/>
          <w:sz w:val="28"/>
        </w:rPr>
        <w:t>3. The Solution: FixGrid Trust Infrastructure</w:t>
      </w:r>
    </w:p>
    <w:p>
      <w:r>
        <w:t>FixGrid systematically eliminates risk at each stage of the repair lifecycle through four software pillars:</w:t>
      </w:r>
    </w:p>
    <w:tbl>
      <w:tblPr>
        <w:tblW w:type="auto" w:w="0"/>
        <w:jc w:val="center"/>
        <w:tblLook w:firstColumn="1" w:firstRow="1" w:lastColumn="0" w:lastRow="0" w:noHBand="0" w:noVBand="1" w:val="04A0"/>
      </w:tblPr>
      <w:tblGrid>
        <w:gridCol w:w="4946"/>
        <w:gridCol w:w="4946"/>
      </w:tblGrid>
      <w:tr>
        <w:tc>
          <w:tcPr>
            <w:tcW w:type="dxa" w:w="3312"/>
            <w:shd w:fill="F1F5F9"/>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b/>
                <w:color w:val="0F172A"/>
                <w:sz w:val="18"/>
              </w:rPr>
              <w:t>Pillar 1: Geospatial Discovery &amp; Digital Identity</w:t>
            </w:r>
          </w:p>
        </w:tc>
        <w:tc>
          <w:tcPr>
            <w:tcW w:type="dxa" w:w="6581"/>
            <w:shd w:fill="FFFFFF"/>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color w:val="334155"/>
                <w:sz w:val="17"/>
              </w:rPr>
              <w:t>Custom Leaflet map engine mapping verified local repairers with transparent diagnostic rate cards, customer ratings, and photo portfolios. Consumers find trusted nearby help in seconds.</w:t>
            </w:r>
          </w:p>
        </w:tc>
      </w:tr>
      <w:tr>
        <w:tc>
          <w:tcPr>
            <w:tcW w:type="dxa" w:w="3312"/>
            <w:shd w:fill="F1F5F9"/>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b/>
                <w:color w:val="0F172A"/>
                <w:sz w:val="18"/>
              </w:rPr>
              <w:t>Pillar 2: Milestone-Based Smart Escrow</w:t>
            </w:r>
          </w:p>
        </w:tc>
        <w:tc>
          <w:tcPr>
            <w:tcW w:type="dxa" w:w="6581"/>
            <w:shd w:fill="FFFFFF"/>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color w:val="334155"/>
                <w:sz w:val="17"/>
              </w:rPr>
              <w:t>Customer payments are secured in the FixGrid Escrow Vault. Funds are NEVER released prematurely; disbursal occurs only after the customer inspects the repair and provides a verified completion OTP.</w:t>
            </w:r>
          </w:p>
        </w:tc>
      </w:tr>
      <w:tr>
        <w:tc>
          <w:tcPr>
            <w:tcW w:type="dxa" w:w="3312"/>
            <w:shd w:fill="F1F5F9"/>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b/>
                <w:color w:val="0F172A"/>
                <w:sz w:val="18"/>
              </w:rPr>
              <w:t>Pillar 3: FixGrid Shield Guarantee</w:t>
            </w:r>
          </w:p>
        </w:tc>
        <w:tc>
          <w:tcPr>
            <w:tcW w:type="dxa" w:w="6581"/>
            <w:shd w:fill="FFFFFF"/>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color w:val="334155"/>
                <w:sz w:val="17"/>
              </w:rPr>
              <w:t>Universal 5-day platform-backed warranty on workmanship, backed by permanent digital records of merchant extended warranties (30/90/180 days) and an impartial dispute resolution protocol.</w:t>
            </w:r>
          </w:p>
        </w:tc>
      </w:tr>
      <w:tr>
        <w:tc>
          <w:tcPr>
            <w:tcW w:type="dxa" w:w="3312"/>
            <w:shd w:fill="F1F5F9"/>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b/>
                <w:color w:val="0F172A"/>
                <w:sz w:val="18"/>
              </w:rPr>
              <w:t>Pillar 4: Shop Pro SaaS &amp; 5% Cashback Rebate</w:t>
            </w:r>
          </w:p>
        </w:tc>
        <w:tc>
          <w:tcPr>
            <w:tcW w:type="dxa" w:w="6581"/>
            <w:shd w:fill="FFFFFF"/>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color w:val="334155"/>
                <w:sz w:val="17"/>
              </w:rPr>
              <w:t>A 5% completed-bill cashback rebate incentivizes offline shops to log all walk-ins on FixGrid. Optional ₹999/mo SaaS tier adds cloud inventory, job ticketing, and automated WhatsApp repair progress alerts.</w:t>
            </w:r>
          </w:p>
        </w:tc>
      </w:tr>
    </w:tbl>
    <w:p>
      <w:pPr>
        <w:spacing w:before="240" w:after="40"/>
      </w:pPr>
      <w:r>
        <w:rPr>
          <w:b/>
          <w:color w:val="0284C7"/>
          <w:sz w:val="17"/>
        </w:rPr>
        <w:t>UNDER THE HOOD</w:t>
      </w:r>
    </w:p>
    <w:p>
      <w:pPr>
        <w:spacing w:before="0" w:after="120"/>
      </w:pPr>
      <w:r>
        <w:rPr>
          <w:b/>
          <w:color w:val="0F172A"/>
          <w:sz w:val="28"/>
        </w:rPr>
        <w:t>4. Technical Innovation &amp; System Specifications</w:t>
      </w:r>
    </w:p>
    <w:p>
      <w:r>
        <w:t>FixGrid is engineered for low latency, hardened data isolation, and programmatic organic growth:</w:t>
      </w:r>
    </w:p>
    <w:tbl>
      <w:tblPr>
        <w:tblW w:type="auto" w:w="0"/>
        <w:jc w:val="center"/>
        <w:tblLook w:firstColumn="1" w:firstRow="1" w:lastColumn="0" w:lastRow="0" w:noHBand="0" w:noVBand="1" w:val="04A0"/>
      </w:tblPr>
      <w:tblGrid>
        <w:gridCol w:w="4946"/>
        <w:gridCol w:w="4946"/>
      </w:tblGrid>
      <w:tr>
        <w:tc>
          <w:tcPr>
            <w:tcW w:type="dxa" w:w="3312"/>
            <w:shd w:fill="F8FAFC"/>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b/>
                <w:color w:val="0284C7"/>
                <w:sz w:val="18"/>
              </w:rPr>
              <w:t>Frontend &amp; Geospatial Engine</w:t>
            </w:r>
          </w:p>
        </w:tc>
        <w:tc>
          <w:tcPr>
            <w:tcW w:type="dxa" w:w="6581"/>
            <w:shd w:fill="FFFFFF"/>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color w:val="334155"/>
                <w:sz w:val="17"/>
              </w:rPr>
              <w:t>Next.js 16 (App Router) + TypeScript + Tailwind CSS. Integrates a lightweight Leaflet/OpenStreetMap geospatial query engine for sub-second proximity calculations without high third-party API costs.</w:t>
            </w:r>
          </w:p>
        </w:tc>
      </w:tr>
      <w:tr>
        <w:tc>
          <w:tcPr>
            <w:tcW w:type="dxa" w:w="3312"/>
            <w:shd w:fill="F8FAFC"/>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b/>
                <w:color w:val="0284C7"/>
                <w:sz w:val="18"/>
              </w:rPr>
              <w:t>Backend, Database &amp; Security</w:t>
            </w:r>
          </w:p>
        </w:tc>
        <w:tc>
          <w:tcPr>
            <w:tcW w:type="dxa" w:w="6581"/>
            <w:shd w:fill="FFFFFF"/>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color w:val="334155"/>
                <w:sz w:val="17"/>
              </w:rPr>
              <w:t>Supabase (PostgreSQL) with Row Level Security (RLS) enforcing multi-tenant customer and merchant data isolation. Database Triggers automate escrow state transitions, audit logging, and OTP verification.</w:t>
            </w:r>
          </w:p>
        </w:tc>
      </w:tr>
      <w:tr>
        <w:tc>
          <w:tcPr>
            <w:tcW w:type="dxa" w:w="3312"/>
            <w:shd w:fill="F8FAFC"/>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b/>
                <w:color w:val="0284C7"/>
                <w:sz w:val="18"/>
              </w:rPr>
              <w:t>Autonomous Headless SEO CMS (/seo-admin)</w:t>
            </w:r>
          </w:p>
        </w:tc>
        <w:tc>
          <w:tcPr>
            <w:tcW w:type="dxa" w:w="6581"/>
            <w:shd w:fill="FFFFFF"/>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color w:val="334155"/>
                <w:sz w:val="17"/>
              </w:rPr>
              <w:t>Programmatic landing page synthesis engine generating thousands of localized, long-tail keyword URLs (e.g. 'iPhone screen replacement in [Locality]') driving zero-CAC organic leads directly to local artisans.</w:t>
            </w:r>
          </w:p>
        </w:tc>
      </w:tr>
    </w:tbl>
    <w:p>
      <w:pPr>
        <w:spacing w:before="240" w:after="40"/>
      </w:pPr>
      <w:r>
        <w:rPr>
          <w:b/>
          <w:color w:val="0284C7"/>
          <w:sz w:val="17"/>
        </w:rPr>
        <w:t>BUSINESS ECONOMICS</w:t>
      </w:r>
    </w:p>
    <w:p>
      <w:pPr>
        <w:spacing w:before="0" w:after="120"/>
      </w:pPr>
      <w:r>
        <w:rPr>
          <w:b/>
          <w:color w:val="0F172A"/>
          <w:sz w:val="28"/>
        </w:rPr>
        <w:t>5. Market Opportunity &amp; Revenue Model</w:t>
      </w:r>
    </w:p>
    <w:p>
      <w:r>
        <w:t xml:space="preserve">FixGrid targets the </w:t>
      </w:r>
      <w:r>
        <w:rPr>
          <w:b/>
        </w:rPr>
        <w:t>$15.2 Billion Indian unorganized repair economy</w:t>
      </w:r>
      <w:r>
        <w:t>, expected to surge past $25 Billion with national Right-to-Repair mandates. Monetization is achieved via three balanced streams:</w:t>
      </w:r>
    </w:p>
    <w:tbl>
      <w:tblPr>
        <w:tblW w:type="auto" w:w="0"/>
        <w:jc w:val="center"/>
        <w:tblLook w:firstColumn="1" w:firstRow="1" w:lastColumn="0" w:lastRow="0" w:noHBand="0" w:noVBand="1" w:val="04A0"/>
      </w:tblPr>
      <w:tblGrid>
        <w:gridCol w:w="4946"/>
        <w:gridCol w:w="4946"/>
      </w:tblGrid>
      <w:tr>
        <w:tc>
          <w:tcPr>
            <w:tcW w:type="dxa" w:w="3312"/>
            <w:shd w:fill="F8FAFC"/>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b/>
                <w:sz w:val="18"/>
              </w:rPr>
              <w:t>Platform Take-Rate (5% – 8%)</w:t>
            </w:r>
          </w:p>
        </w:tc>
        <w:tc>
          <w:tcPr>
            <w:tcW w:type="dxa" w:w="6581"/>
            <w:shd w:fill="FFFFFF"/>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sz w:val="17"/>
              </w:rPr>
              <w:t>Transaction commission on completed escrow bookings. Covers payment processing, dispute arbitration, and FixGrid Shield warranty insurance.</w:t>
            </w:r>
          </w:p>
        </w:tc>
      </w:tr>
      <w:tr>
        <w:tc>
          <w:tcPr>
            <w:tcW w:type="dxa" w:w="3312"/>
            <w:shd w:fill="F8FAFC"/>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b/>
                <w:sz w:val="18"/>
              </w:rPr>
              <w:t>Shop Pro SaaS (₹999 / month)</w:t>
            </w:r>
          </w:p>
        </w:tc>
        <w:tc>
          <w:tcPr>
            <w:tcW w:type="dxa" w:w="6581"/>
            <w:shd w:fill="FFFFFF"/>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sz w:val="17"/>
              </w:rPr>
              <w:t>Optional cloud subscription for busy repair workshops: multi-technician ticketing, automated WhatsApp repair updates, cloud inventory, and priority search badge.</w:t>
            </w:r>
          </w:p>
        </w:tc>
      </w:tr>
      <w:tr>
        <w:tc>
          <w:tcPr>
            <w:tcW w:type="dxa" w:w="3312"/>
            <w:shd w:fill="F8FAFC"/>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b/>
                <w:sz w:val="18"/>
              </w:rPr>
              <w:t>B2B Certified Spare Parts</w:t>
            </w:r>
          </w:p>
        </w:tc>
        <w:tc>
          <w:tcPr>
            <w:tcW w:type="dxa" w:w="6581"/>
            <w:shd w:fill="FFFFFF"/>
            <w:tcBorders>
              <w:top w:val="single" w:sz="4" w:space="0" w:color="E2E8F0"/>
              <w:left w:val="single" w:sz="4" w:space="0" w:color="E2E8F0"/>
              <w:bottom w:val="single" w:sz="4" w:space="0" w:color="E2E8F0"/>
              <w:right w:val="single" w:sz="4" w:space="0" w:color="E2E8F0"/>
            </w:tcBorders>
            <w:tcMar>
              <w:top w:w="120" w:type="dxa"/>
              <w:bottom w:w="120" w:type="dxa"/>
              <w:left w:w="160" w:type="dxa"/>
              <w:right w:w="160" w:type="dxa"/>
            </w:tcMar>
          </w:tcPr>
          <w:p>
            <w:pPr>
              <w:spacing w:after="0"/>
            </w:pPr>
            <w:r>
              <w:rPr>
                <w:sz w:val="17"/>
              </w:rPr>
              <w:t>Wholesale supply-chain distribution (parts.vytron.me) connecting member shops to verified OEM-equivalent parts at 10%–18% gross margin.</w:t>
            </w:r>
          </w:p>
        </w:tc>
      </w:tr>
    </w:tbl>
    <w:p>
      <w:pPr>
        <w:spacing w:before="240" w:after="40"/>
      </w:pPr>
      <w:r>
        <w:rPr>
          <w:b/>
          <w:color w:val="0284C7"/>
          <w:sz w:val="17"/>
        </w:rPr>
        <w:t>MEASURABLE IMPACT</w:t>
      </w:r>
    </w:p>
    <w:p>
      <w:pPr>
        <w:spacing w:before="0" w:after="120"/>
      </w:pPr>
      <w:r>
        <w:rPr>
          <w:b/>
          <w:color w:val="0F172A"/>
          <w:sz w:val="28"/>
        </w:rPr>
        <w:t>6. Triple Bottom Line Impact Analysis (ESG)</w:t>
      </w:r>
    </w:p>
    <w:tbl>
      <w:tblPr>
        <w:tblW w:type="auto" w:w="0"/>
        <w:jc w:val="center"/>
        <w:tblLook w:firstColumn="1" w:firstRow="1" w:lastColumn="0" w:lastRow="0" w:noHBand="0" w:noVBand="1" w:val="04A0"/>
      </w:tblPr>
      <w:tblGrid>
        <w:gridCol w:w="3298"/>
        <w:gridCol w:w="3298"/>
        <w:gridCol w:w="3298"/>
      </w:tblGrid>
      <w:tr>
        <w:tc>
          <w:tcPr>
            <w:tcW w:type="dxa" w:w="2880"/>
            <w:shd w:fill="F1F5F9"/>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b/>
                <w:sz w:val="17"/>
              </w:rPr>
              <w:t>ECONOMIC (Consumer)</w:t>
            </w:r>
          </w:p>
        </w:tc>
        <w:tc>
          <w:tcPr>
            <w:tcW w:type="dxa" w:w="2592"/>
            <w:shd w:fill="FFFFFF"/>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b/>
                <w:color w:val="0284C7"/>
                <w:sz w:val="21"/>
              </w:rPr>
              <w:t>60% – 80% Savings</w:t>
            </w:r>
          </w:p>
        </w:tc>
        <w:tc>
          <w:tcPr>
            <w:tcW w:type="dxa" w:w="4421"/>
            <w:shd w:fill="FFFFFF"/>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sz w:val="17"/>
              </w:rPr>
              <w:t>Saves ~₹14,000 annually per urban household vs. buying new replacements. Extends gadget life by 2.5 to 4 years.</w:t>
            </w:r>
          </w:p>
        </w:tc>
      </w:tr>
      <w:tr>
        <w:tc>
          <w:tcPr>
            <w:tcW w:type="dxa" w:w="2880"/>
            <w:shd w:fill="F1F5F9"/>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b/>
                <w:sz w:val="17"/>
              </w:rPr>
              <w:t>SOCIAL (Artisans)</w:t>
            </w:r>
          </w:p>
        </w:tc>
        <w:tc>
          <w:tcPr>
            <w:tcW w:type="dxa" w:w="2592"/>
            <w:shd w:fill="FFFFFF"/>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b/>
                <w:color w:val="0284C7"/>
                <w:sz w:val="21"/>
              </w:rPr>
              <w:t>+35% – 45% Income</w:t>
            </w:r>
          </w:p>
        </w:tc>
        <w:tc>
          <w:tcPr>
            <w:tcW w:type="dxa" w:w="4421"/>
            <w:shd w:fill="FFFFFF"/>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sz w:val="17"/>
              </w:rPr>
              <w:t>Brings informal neighborhood repair heroes into the formal digital economy. Portable rating ledger unlocks microcredit.</w:t>
            </w:r>
          </w:p>
        </w:tc>
      </w:tr>
      <w:tr>
        <w:tc>
          <w:tcPr>
            <w:tcW w:type="dxa" w:w="2880"/>
            <w:shd w:fill="F1F5F9"/>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b/>
                <w:sz w:val="17"/>
              </w:rPr>
              <w:t>ECOLOGICAL (Planet)</w:t>
            </w:r>
          </w:p>
        </w:tc>
        <w:tc>
          <w:tcPr>
            <w:tcW w:type="dxa" w:w="2592"/>
            <w:shd w:fill="FFFFFF"/>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b/>
                <w:color w:val="0284C7"/>
                <w:sz w:val="21"/>
              </w:rPr>
              <w:t>72 kg CO₂e Saved</w:t>
            </w:r>
          </w:p>
        </w:tc>
        <w:tc>
          <w:tcPr>
            <w:tcW w:type="dxa" w:w="4421"/>
            <w:shd w:fill="FFFFFF"/>
            <w:tcBorders>
              <w:top w:val="single" w:sz="4" w:space="0" w:color="CBD5E1"/>
              <w:left w:val="single" w:sz="4" w:space="0" w:color="CBD5E1"/>
              <w:bottom w:val="single" w:sz="4" w:space="0" w:color="CBD5E1"/>
              <w:right w:val="single" w:sz="4" w:space="0" w:color="CBD5E1"/>
            </w:tcBorders>
            <w:tcMar>
              <w:top w:w="120" w:type="dxa"/>
              <w:bottom w:w="120" w:type="dxa"/>
              <w:left w:w="160" w:type="dxa"/>
              <w:right w:w="160" w:type="dxa"/>
            </w:tcMar>
          </w:tcPr>
          <w:p>
            <w:pPr>
              <w:spacing w:after="0"/>
            </w:pPr>
            <w:r>
              <w:rPr>
                <w:sz w:val="17"/>
              </w:rPr>
              <w:t>Per smartphone repaired; diverts toxic e-waste from informal burning; directly advances UN SDG 12 &amp; SDG 13.</w:t>
            </w:r>
          </w:p>
        </w:tc>
      </w:tr>
    </w:tbl>
    <w:p>
      <w:pPr>
        <w:spacing w:before="240" w:after="40"/>
      </w:pPr>
      <w:r>
        <w:rPr>
          <w:b/>
          <w:color w:val="0284C7"/>
          <w:sz w:val="17"/>
        </w:rPr>
        <w:t>TRACTION</w:t>
      </w:r>
    </w:p>
    <w:p>
      <w:pPr>
        <w:spacing w:before="0" w:after="120"/>
      </w:pPr>
      <w:r>
        <w:rPr>
          <w:b/>
          <w:color w:val="0F172A"/>
          <w:sz w:val="28"/>
        </w:rPr>
        <w:t>7. Live Production Verification &amp; Hackathon Edge</w:t>
      </w:r>
    </w:p>
    <w:tbl>
      <w:tblPr>
        <w:tblW w:type="auto" w:w="0"/>
        <w:jc w:val="center"/>
        <w:tblLook w:firstColumn="1" w:firstRow="1" w:lastColumn="0" w:lastRow="0" w:noHBand="0" w:noVBand="1" w:val="04A0"/>
      </w:tblPr>
      <w:tblGrid>
        <w:gridCol w:w="9893"/>
      </w:tblGrid>
      <w:tr>
        <w:tc>
          <w:tcPr>
            <w:tcW w:type="dxa" w:w="9893"/>
            <w:shd w:fill="0F172A"/>
            <w:tcMar>
              <w:top w:w="200" w:type="dxa"/>
              <w:bottom w:w="200" w:type="dxa"/>
              <w:left w:w="280" w:type="dxa"/>
              <w:right w:w="280" w:type="dxa"/>
            </w:tcMar>
          </w:tcPr>
          <w:p>
            <w:pPr>
              <w:spacing w:after="60"/>
            </w:pPr>
            <w:r>
              <w:rPr>
                <w:b/>
                <w:color w:val="34D399"/>
                <w:sz w:val="18"/>
              </w:rPr>
              <w:t>WHY FIXGRID WINS: WORKING PRODUCTION SOFTWARE</w:t>
            </w:r>
          </w:p>
          <w:p>
            <w:pPr>
              <w:spacing w:after="80"/>
            </w:pPr>
            <w:r>
              <w:rPr>
                <w:color w:val="FFFFFF"/>
                <w:sz w:val="22"/>
              </w:rPr>
              <w:t xml:space="preserve">Live Platform: </w:t>
            </w:r>
            <w:r>
              <w:rPr>
                <w:b/>
                <w:color w:val="38BDF8"/>
                <w:sz w:val="22"/>
              </w:rPr>
              <w:t>https://www.vytron.me</w:t>
            </w:r>
          </w:p>
          <w:p>
            <w:pPr>
              <w:spacing w:after="0"/>
            </w:pPr>
            <w:r>
              <w:rPr>
                <w:color w:val="94A3B8"/>
                <w:sz w:val="17"/>
              </w:rPr>
              <w:t>Unlike projects that showcase mockups or Figma prototypes, FixGrid is deployed and fully interactive right now. Anyone can explore verified shops, filter repairs on the live Leaflet map, view rate cards, and test the customer and technician portal flows.</w:t>
            </w:r>
          </w:p>
        </w:tc>
      </w:tr>
    </w:tbl>
    <w:sectPr w:rsidR="00FC693F" w:rsidRPr="0006063C" w:rsidSect="00034616">
      <w:pgSz w:w="11909" w:h="16834"/>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Segoe UI" w:hAnsi="Segoe UI"/>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