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FC4E" w14:textId="0CD4D0CA" w:rsidR="009D415D" w:rsidRPr="001F60C6" w:rsidRDefault="009D415D" w:rsidP="009D415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F60C6">
        <w:rPr>
          <w:rFonts w:ascii="Times New Roman" w:hAnsi="Times New Roman" w:cs="Times New Roman"/>
          <w:b/>
          <w:bCs/>
          <w:sz w:val="20"/>
          <w:szCs w:val="20"/>
        </w:rPr>
        <w:t>DSCI 519 - Foundations and Policy for Information</w:t>
      </w:r>
      <w:r w:rsidRPr="001F60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b/>
          <w:bCs/>
          <w:sz w:val="20"/>
          <w:szCs w:val="20"/>
        </w:rPr>
        <w:t>Security</w:t>
      </w:r>
      <w:r w:rsidRPr="001F60C6">
        <w:rPr>
          <w:rFonts w:ascii="Times New Roman" w:hAnsi="Times New Roman" w:cs="Times New Roman"/>
          <w:b/>
          <w:bCs/>
          <w:sz w:val="20"/>
          <w:szCs w:val="20"/>
        </w:rPr>
        <w:t xml:space="preserve"> Project</w:t>
      </w:r>
    </w:p>
    <w:p w14:paraId="0E9B882C" w14:textId="45F060EF" w:rsidR="009D415D" w:rsidRPr="001F60C6" w:rsidRDefault="009D415D" w:rsidP="009D415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F60C6">
        <w:rPr>
          <w:rFonts w:ascii="Times New Roman" w:hAnsi="Times New Roman" w:cs="Times New Roman"/>
          <w:b/>
          <w:bCs/>
          <w:sz w:val="20"/>
          <w:szCs w:val="20"/>
        </w:rPr>
        <w:t>Rishit Saiya</w:t>
      </w:r>
      <w:r w:rsidRPr="001F60C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hyperlink r:id="rId5" w:history="1">
        <w:r w:rsidRPr="001F60C6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rsaiya@usc.edu</w:t>
        </w:r>
      </w:hyperlink>
      <w:r w:rsidRPr="001F60C6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4DF685E" w14:textId="77777777" w:rsidR="009D415D" w:rsidRDefault="009D415D">
      <w:pPr>
        <w:rPr>
          <w:rFonts w:ascii="Times New Roman" w:hAnsi="Times New Roman" w:cs="Times New Roman"/>
          <w:sz w:val="20"/>
          <w:szCs w:val="20"/>
        </w:rPr>
      </w:pPr>
    </w:p>
    <w:p w14:paraId="3AFFBAB2" w14:textId="39B3DC84" w:rsidR="009D415D" w:rsidRPr="009D415D" w:rsidRDefault="009D41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D415D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9D415D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9D415D">
        <w:rPr>
          <w:rFonts w:ascii="Times New Roman" w:hAnsi="Times New Roman" w:cs="Times New Roman"/>
          <w:b/>
          <w:bCs/>
          <w:sz w:val="20"/>
          <w:szCs w:val="20"/>
        </w:rPr>
        <w:t xml:space="preserve"> Introduction</w:t>
      </w:r>
    </w:p>
    <w:p w14:paraId="78579DD1" w14:textId="77777777" w:rsidR="009D415D" w:rsidRDefault="00333925" w:rsidP="0095349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3925">
        <w:rPr>
          <w:rFonts w:ascii="Times New Roman" w:hAnsi="Times New Roman" w:cs="Times New Roman"/>
          <w:sz w:val="20"/>
          <w:szCs w:val="20"/>
        </w:rPr>
        <w:t>A bioinformatics business called “The Center” focuses on research, molecular pathology,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and clinical genetics labs. Utilizing technology to handle and analyze biological data is the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primary purpose of the bioinformatics field. It contains several stages, including ones for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biological data analysis and storage. The Center has an agreement with a different business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called Cartagenia that gives it access to a clinical informatics platform for performing data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analysis. Despite the fact that Cartagenia conducts data analysis, The Center alone retains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ownership of the data, and Cartagenia will only serve as a data processor. The Center’s data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is maintained by Amazon Web Services, a cloud service provider (AWS). With the help of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its numerous storage and processing services, such as EC2, S3, and Glacier, AWS keeps its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servers and storage in the cloud that are HIPAA compliant [1].</w:t>
      </w:r>
    </w:p>
    <w:p w14:paraId="6F6FCED8" w14:textId="6640352B" w:rsidR="00FB17A6" w:rsidRDefault="00333925" w:rsidP="0095349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3925">
        <w:rPr>
          <w:rFonts w:ascii="Times New Roman" w:hAnsi="Times New Roman" w:cs="Times New Roman"/>
          <w:sz w:val="20"/>
          <w:szCs w:val="20"/>
        </w:rPr>
        <w:br/>
        <w:t>The Health Insurance Portability and Accountability Act (HIPAA) [5] was created to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regulate how “covered entities” (such as health insurers and medical service providers) and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other businesses that may acquire such information, collect, disclose, and preserve customers’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 xml:space="preserve">protected health </w:t>
      </w:r>
      <w:r w:rsidRPr="00333925">
        <w:rPr>
          <w:rFonts w:ascii="Times New Roman" w:hAnsi="Times New Roman" w:cs="Times New Roman"/>
          <w:sz w:val="20"/>
          <w:szCs w:val="20"/>
        </w:rPr>
        <w:t>i</w:t>
      </w:r>
      <w:r w:rsidRPr="00333925">
        <w:rPr>
          <w:rFonts w:ascii="Times New Roman" w:hAnsi="Times New Roman" w:cs="Times New Roman"/>
          <w:sz w:val="20"/>
          <w:szCs w:val="20"/>
        </w:rPr>
        <w:t>nformation (PHI). HIPAA is relevant to the business since “The Center”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deals with protected health information (PHI) and electronically protected health information (ePHI). Company must adhere to HIPAA rules’ policies and controls. The documents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outline data policies, including the steps the Center takes to protect the privacy and security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of its clients’ and patients’ personal information on both a process and product level. It also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outlines the data retention policy for all cytogenetic, clinical microarray, and next generation sequencing data created inside the Center, as well as procedures for sharing, storing,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and transferring next generation sequencing (NGS) data that is generated, processed, and</w:t>
      </w:r>
      <w:r w:rsidRPr="00333925">
        <w:rPr>
          <w:rFonts w:ascii="Times New Roman" w:hAnsi="Times New Roman" w:cs="Times New Roman"/>
          <w:sz w:val="20"/>
          <w:szCs w:val="20"/>
        </w:rPr>
        <w:t xml:space="preserve"> </w:t>
      </w:r>
      <w:r w:rsidRPr="00333925">
        <w:rPr>
          <w:rFonts w:ascii="Times New Roman" w:hAnsi="Times New Roman" w:cs="Times New Roman"/>
          <w:sz w:val="20"/>
          <w:szCs w:val="20"/>
        </w:rPr>
        <w:t>reported.</w:t>
      </w:r>
    </w:p>
    <w:p w14:paraId="484497A0" w14:textId="77777777" w:rsidR="0095349C" w:rsidRDefault="0095349C" w:rsidP="0095349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D96B9D" w14:textId="5455C869" w:rsidR="009D415D" w:rsidRPr="009D415D" w:rsidRDefault="009D415D" w:rsidP="009D41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D415D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9D415D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9D415D">
        <w:rPr>
          <w:rFonts w:ascii="Times New Roman" w:hAnsi="Times New Roman" w:cs="Times New Roman"/>
          <w:b/>
          <w:bCs/>
          <w:sz w:val="20"/>
          <w:szCs w:val="20"/>
        </w:rPr>
        <w:t xml:space="preserve"> Protection Policies for The Center’s Information</w:t>
      </w:r>
    </w:p>
    <w:p w14:paraId="35FB2414" w14:textId="77777777" w:rsidR="0095349C" w:rsidRDefault="009D415D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D415D">
        <w:rPr>
          <w:rFonts w:ascii="Times New Roman" w:hAnsi="Times New Roman" w:cs="Times New Roman"/>
          <w:b/>
          <w:bCs/>
          <w:sz w:val="20"/>
          <w:szCs w:val="20"/>
        </w:rPr>
        <w:t>2.1 Database Policy</w:t>
      </w:r>
    </w:p>
    <w:p w14:paraId="52CA6118" w14:textId="37EB2B0D" w:rsidR="009D415D" w:rsidRDefault="009D415D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D415D">
        <w:rPr>
          <w:rFonts w:ascii="Times New Roman" w:hAnsi="Times New Roman" w:cs="Times New Roman"/>
          <w:sz w:val="20"/>
          <w:szCs w:val="20"/>
        </w:rPr>
        <w:t>The implementation of this regulation is necessary to impose restrictions on databases.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has to be encrypted using a certain cryptographic method, such as AES 256, etc. ACL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should also be kept up to date for DBAs (Database Administrators).</w:t>
      </w:r>
    </w:p>
    <w:p w14:paraId="53DF5D1A" w14:textId="77777777" w:rsidR="0095349C" w:rsidRPr="0095349C" w:rsidRDefault="0095349C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8FBBDF2" w14:textId="77777777" w:rsidR="009D415D" w:rsidRPr="009D415D" w:rsidRDefault="009D415D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D415D">
        <w:rPr>
          <w:rFonts w:ascii="Times New Roman" w:hAnsi="Times New Roman" w:cs="Times New Roman"/>
          <w:b/>
          <w:bCs/>
          <w:sz w:val="20"/>
          <w:szCs w:val="20"/>
        </w:rPr>
        <w:t>2.2 Policies for Data Security and Confidentiality</w:t>
      </w:r>
    </w:p>
    <w:p w14:paraId="622EAE80" w14:textId="5A47013D" w:rsidR="009D415D" w:rsidRDefault="009D415D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D415D">
        <w:rPr>
          <w:rFonts w:ascii="Times New Roman" w:hAnsi="Times New Roman" w:cs="Times New Roman"/>
          <w:sz w:val="20"/>
          <w:szCs w:val="20"/>
        </w:rPr>
        <w:t xml:space="preserve">The confidentiality of data and information systems that “The Center” holds </w:t>
      </w:r>
      <w:r w:rsidRPr="009D415D">
        <w:rPr>
          <w:rFonts w:ascii="Times New Roman" w:hAnsi="Times New Roman" w:cs="Times New Roman"/>
          <w:sz w:val="20"/>
          <w:szCs w:val="20"/>
        </w:rPr>
        <w:t>are</w:t>
      </w:r>
      <w:r w:rsidRPr="009D415D">
        <w:rPr>
          <w:rFonts w:ascii="Times New Roman" w:hAnsi="Times New Roman" w:cs="Times New Roman"/>
          <w:sz w:val="20"/>
          <w:szCs w:val="20"/>
        </w:rPr>
        <w:t xml:space="preserve"> the major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emphasis of this policy. It contains several sub-policies that have the same objective. 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policy must be consistent with the hospital’s broader guidelines. If the hospital center’s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director is unavailable, the bioinformatics director must make the necessary choices about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data security and confidentiality [7].</w:t>
      </w:r>
    </w:p>
    <w:p w14:paraId="710764F6" w14:textId="77777777" w:rsidR="0095349C" w:rsidRPr="009D415D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3E95ABD" w14:textId="77777777" w:rsidR="009D415D" w:rsidRPr="009D415D" w:rsidRDefault="009D415D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D415D">
        <w:rPr>
          <w:rFonts w:ascii="Times New Roman" w:hAnsi="Times New Roman" w:cs="Times New Roman"/>
          <w:b/>
          <w:bCs/>
          <w:sz w:val="20"/>
          <w:szCs w:val="20"/>
        </w:rPr>
        <w:t>2.2.1 Access Control Policy</w:t>
      </w:r>
    </w:p>
    <w:p w14:paraId="271B9685" w14:textId="2F9D3662" w:rsidR="009D415D" w:rsidRDefault="009D415D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D415D">
        <w:rPr>
          <w:rFonts w:ascii="Times New Roman" w:hAnsi="Times New Roman" w:cs="Times New Roman"/>
          <w:sz w:val="20"/>
          <w:szCs w:val="20"/>
        </w:rPr>
        <w:t>This policy identifies the individuals with the power to give access to resources. Access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 xml:space="preserve">granted subject to a number of conditions, such as infrastructure type, user groups, integration, roles, and environments. For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9D415D">
        <w:rPr>
          <w:rFonts w:ascii="Times New Roman" w:hAnsi="Times New Roman" w:cs="Times New Roman"/>
          <w:sz w:val="20"/>
          <w:szCs w:val="20"/>
        </w:rPr>
        <w:t>nstance, the hospital’s IT department manages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username and passwords for any equipment that is connected with the LDAP configuratio</w:t>
      </w:r>
      <w:r>
        <w:rPr>
          <w:rFonts w:ascii="Times New Roman" w:hAnsi="Times New Roman" w:cs="Times New Roman"/>
          <w:sz w:val="20"/>
          <w:szCs w:val="20"/>
        </w:rPr>
        <w:t xml:space="preserve">n </w:t>
      </w:r>
      <w:r w:rsidRPr="009D415D">
        <w:rPr>
          <w:rFonts w:ascii="Times New Roman" w:hAnsi="Times New Roman" w:cs="Times New Roman"/>
          <w:sz w:val="20"/>
          <w:szCs w:val="20"/>
        </w:rPr>
        <w:t>of the facility, albeit the IT Director or a designee may authorize access. The IT Director,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the Bioinformatics Director, or a representative of each of them must provide root access.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Similar to this, several user roles are specified together with their access rights to resources.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For instance, the Bioinfoclin group is only allowed to see clinical data and other related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information.</w:t>
      </w:r>
    </w:p>
    <w:p w14:paraId="3D3C1F33" w14:textId="77777777" w:rsidR="0095349C" w:rsidRPr="009D415D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86A2556" w14:textId="77777777" w:rsidR="009D415D" w:rsidRPr="009D415D" w:rsidRDefault="009D415D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D415D">
        <w:rPr>
          <w:rFonts w:ascii="Times New Roman" w:hAnsi="Times New Roman" w:cs="Times New Roman"/>
          <w:b/>
          <w:bCs/>
          <w:sz w:val="20"/>
          <w:szCs w:val="20"/>
        </w:rPr>
        <w:t>2.3 Log Management Policy</w:t>
      </w:r>
    </w:p>
    <w:p w14:paraId="632131BB" w14:textId="5311D28F" w:rsidR="009D415D" w:rsidRDefault="009D415D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D415D">
        <w:rPr>
          <w:rFonts w:ascii="Times New Roman" w:hAnsi="Times New Roman" w:cs="Times New Roman"/>
          <w:sz w:val="20"/>
          <w:szCs w:val="20"/>
        </w:rPr>
        <w:t>It gives instructions on the kinds of logs that must be kept and their criteria. It also details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the folders in which logs will be kept. For example, user names and access privileges must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recorded in the computing equipment access log (FORM.HC-40101.1), whereas maintenance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related logs (such as network cards and OS upgrades) must be recorded in the computing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equipment maintenance log (FORM.HC-C04101.2) [4].</w:t>
      </w:r>
    </w:p>
    <w:p w14:paraId="6DC78802" w14:textId="77777777" w:rsidR="0095349C" w:rsidRPr="009D415D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B7DCF18" w14:textId="77777777" w:rsidR="009D415D" w:rsidRPr="009D415D" w:rsidRDefault="009D415D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D415D">
        <w:rPr>
          <w:rFonts w:ascii="Times New Roman" w:hAnsi="Times New Roman" w:cs="Times New Roman"/>
          <w:b/>
          <w:bCs/>
          <w:sz w:val="20"/>
          <w:szCs w:val="20"/>
        </w:rPr>
        <w:t>2.4 Security Policy</w:t>
      </w:r>
    </w:p>
    <w:p w14:paraId="658A87FC" w14:textId="77108516" w:rsidR="00333925" w:rsidRDefault="009D415D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D415D">
        <w:rPr>
          <w:rFonts w:ascii="Times New Roman" w:hAnsi="Times New Roman" w:cs="Times New Roman"/>
          <w:sz w:val="20"/>
          <w:szCs w:val="20"/>
        </w:rPr>
        <w:t>It outlines the safeguards that must be put in place to protect the information systems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D415D">
        <w:rPr>
          <w:rFonts w:ascii="Times New Roman" w:hAnsi="Times New Roman" w:cs="Times New Roman"/>
          <w:sz w:val="20"/>
          <w:szCs w:val="20"/>
        </w:rPr>
        <w:t>data that HC holds. Controls for network access and physical access are included.</w:t>
      </w:r>
    </w:p>
    <w:p w14:paraId="4FCE872A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852D08E" w14:textId="77777777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lastRenderedPageBreak/>
        <w:t>2.4.1 Physical Access Policy</w:t>
      </w:r>
    </w:p>
    <w:p w14:paraId="7DDB7073" w14:textId="0E84B614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It is made up of checks that must be used to carry out the physical access policy. Only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the Director of Bioinformatics, Directors’ designees, IT staff, and pre-approved/authorized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suppliers have physical access to the IDF/HC server. Three biometric security mechanisms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are in place at USC HPCC and are used whenever someone tries to access gear.</w:t>
      </w:r>
    </w:p>
    <w:p w14:paraId="1449E3A0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675F7F7" w14:textId="77777777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2.4.2 Network Access Policy</w:t>
      </w:r>
    </w:p>
    <w:p w14:paraId="37F868C7" w14:textId="71AE3A1A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It describes the precautions that must be taken when logging onto the network. These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protections are dependent on a number of elements that are taken into account. For instance,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unless VPN access is permitted, a hospital’s network may only be accessed when onsite.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Director of Bioinformatics or his designee is the only person with network access at USC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HPCC. Furthermore, there are no connections to the dark web.</w:t>
      </w:r>
    </w:p>
    <w:p w14:paraId="43F7F480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FD85F60" w14:textId="77777777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2.5 Policy of Acceptable Usage</w:t>
      </w:r>
    </w:p>
    <w:p w14:paraId="7D94F670" w14:textId="1A6BB27C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It describes the rules that users must abide by when accessing data and information systems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E59D1">
        <w:rPr>
          <w:rFonts w:ascii="Times New Roman" w:hAnsi="Times New Roman" w:cs="Times New Roman"/>
          <w:sz w:val="20"/>
          <w:szCs w:val="20"/>
        </w:rPr>
        <w:t>It states that in order to avoid unauthorized access to protected data, users must not share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their login information with any other users and must log out of all systems when not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use. Additionally, it states that any electronic correspondence must use the hospital’s email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address. Personal email addresses are not permitted. Additionally, it states that all users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who have access to clinical data must complete HIPAA training in accordance with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requirements and specifications established by the institution.</w:t>
      </w:r>
    </w:p>
    <w:p w14:paraId="30AB0CAD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6BF2192" w14:textId="77777777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2.6 Policy for Third Party Security</w:t>
      </w:r>
    </w:p>
    <w:p w14:paraId="32F2CF75" w14:textId="2D120338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Because Cartagenia and other third parties, such AWS, conduct some processes, it is crucial.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There should be a suitable agreement in place that includes terms relating to confidentiality,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security, the ability to audit, and nondisclosure agreements (Non-Disclosure Agreement).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BAA (Business Associate Agreement) in place with AWS in this instance.</w:t>
      </w:r>
    </w:p>
    <w:p w14:paraId="271241EE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80D8B61" w14:textId="3BB40163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2.7 Data Transfer Policy</w:t>
      </w:r>
      <w:r w:rsidRPr="0095349C">
        <w:rPr>
          <w:rFonts w:ascii="Times New Roman" w:hAnsi="Times New Roman" w:cs="Times New Roman"/>
          <w:b/>
          <w:bCs/>
          <w:sz w:val="20"/>
          <w:szCs w:val="20"/>
        </w:rPr>
        <w:t xml:space="preserve"> (When data is in motion/migration)</w:t>
      </w:r>
    </w:p>
    <w:p w14:paraId="02D3AE15" w14:textId="0277FEFD" w:rsidR="009D415D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It is a comprehensive policy that contains restrictions on data collection, transfer, transmission, identifiers, and de-identifiers, among other things. According to the documentation,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the different types of such namely cytogenic, NGS or maybe even the cytogenic data is 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 xml:space="preserve">generated within the organization [6]. </w:t>
      </w:r>
      <w:r w:rsidRPr="001E59D1">
        <w:rPr>
          <w:rFonts w:ascii="Times New Roman" w:hAnsi="Times New Roman" w:cs="Times New Roman"/>
          <w:sz w:val="20"/>
          <w:szCs w:val="20"/>
        </w:rPr>
        <w:t>However,</w:t>
      </w:r>
      <w:r w:rsidRPr="001E59D1">
        <w:rPr>
          <w:rFonts w:ascii="Times New Roman" w:hAnsi="Times New Roman" w:cs="Times New Roman"/>
          <w:sz w:val="20"/>
          <w:szCs w:val="20"/>
        </w:rPr>
        <w:t xml:space="preserve"> the clinical reports maybe a subset of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patient record, but apart from that no information about Clinical NGS Testing is shared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outside reference labs or other service providers. A checksum is included with every data file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to guarantee that it is transferred in its whole and is not damaged.</w:t>
      </w:r>
    </w:p>
    <w:p w14:paraId="507DD3E0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2E3EC55" w14:textId="77777777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2.7.1 Backup Policy</w:t>
      </w:r>
    </w:p>
    <w:p w14:paraId="0084B6E5" w14:textId="0636196A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It specifies the checkpoints that must be put in place for data backup. Along with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frequency of backups, it iterates over the different types of data that need to be saved.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RAID solutions, integrity standards to be upheld by MD5, CRC32, backup tapes, TSM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server, and appropriate scheduling are all included.</w:t>
      </w:r>
    </w:p>
    <w:p w14:paraId="6479A43D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E69225D" w14:textId="77777777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2.7.2 Data Access Policy</w:t>
      </w:r>
    </w:p>
    <w:p w14:paraId="6D2AF709" w14:textId="299EA2DC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This policy specifies the rules that must be adhered to while accessing data. The transfer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data generated at the Clinical end created within The Center to personal external drives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clouds like Dropbox, Google Drive is expressly forbidden, according to the statement.</w:t>
      </w:r>
    </w:p>
    <w:p w14:paraId="45DA9E93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AB3C55A" w14:textId="0F73EBD5" w:rsidR="001E59D1" w:rsidRPr="0095349C" w:rsidRDefault="001E59D1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2.7.3 Data Transmission Policy</w:t>
      </w:r>
    </w:p>
    <w:p w14:paraId="64D44FB0" w14:textId="6F024045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The controls listed in this policy must be adhered to while transmitting data. It claims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 xml:space="preserve">that opposing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1E59D1">
        <w:rPr>
          <w:rFonts w:ascii="Times New Roman" w:hAnsi="Times New Roman" w:cs="Times New Roman"/>
          <w:sz w:val="20"/>
          <w:szCs w:val="20"/>
        </w:rPr>
        <w:t>ryptographic techniques are used to secure data transported outside of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network. Furthermore, only 2 ways are permitted for data transmission to AWS. Through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the AWS Snowball Appliance Service or over the internet using an encrypted storage device.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Further instructions are provided on how to connect to Cartagenia BENCHLab NGS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transfer data.</w:t>
      </w:r>
    </w:p>
    <w:p w14:paraId="44689339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001ED00" w14:textId="77777777" w:rsidR="001E59D1" w:rsidRPr="0095349C" w:rsidRDefault="001E59D1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2.7.4 De-Identification Policy</w:t>
      </w:r>
    </w:p>
    <w:p w14:paraId="606D3445" w14:textId="12792760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When dealing with HIPAA compliance, De-Identification is crucial. The standards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procedures that must be followed for de-identification are laid out in this policy. Samples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are de-identified and given a sample identification in accordance with policy and file naming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standard.</w:t>
      </w:r>
    </w:p>
    <w:p w14:paraId="4CE852A9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87B15F4" w14:textId="77777777" w:rsidR="001E59D1" w:rsidRPr="0095349C" w:rsidRDefault="001E59D1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lastRenderedPageBreak/>
        <w:t>2.7.5 Encryption Policy</w:t>
      </w:r>
    </w:p>
    <w:p w14:paraId="024E46F9" w14:textId="07B7ED7F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It is among the most significant protective measures. This policy outlines the information encryption standards that must be followed. It advises using SSH to connect to distant servers.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To ensure data confidentiality and integrity, HTTPS and other comparable cryptographic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technologies should be employed.</w:t>
      </w:r>
    </w:p>
    <w:p w14:paraId="361EDB48" w14:textId="77777777" w:rsidR="0095349C" w:rsidRPr="001E59D1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0057F46" w14:textId="77777777" w:rsidR="001E59D1" w:rsidRPr="0095349C" w:rsidRDefault="001E59D1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2.8 Policy for Data Retention</w:t>
      </w:r>
    </w:p>
    <w:p w14:paraId="55F7C52B" w14:textId="58CF3132" w:rsidR="001E59D1" w:rsidRDefault="001E59D1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59D1">
        <w:rPr>
          <w:rFonts w:ascii="Times New Roman" w:hAnsi="Times New Roman" w:cs="Times New Roman"/>
          <w:sz w:val="20"/>
          <w:szCs w:val="20"/>
        </w:rPr>
        <w:t>Data compromise might occur if data is not stored securely. Controls for data protection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must be put in place for various degrees of data retention. It addresses issues including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59D1">
        <w:rPr>
          <w:rFonts w:ascii="Times New Roman" w:hAnsi="Times New Roman" w:cs="Times New Roman"/>
          <w:sz w:val="20"/>
          <w:szCs w:val="20"/>
        </w:rPr>
        <w:t>storage, data retention time, backup strategy, and more.</w:t>
      </w:r>
    </w:p>
    <w:p w14:paraId="1F9F356A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E153CA9" w14:textId="77777777" w:rsidR="002D453C" w:rsidRPr="0095349C" w:rsidRDefault="002D453C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2.8.1 Data Recovery</w:t>
      </w:r>
    </w:p>
    <w:p w14:paraId="38F5FD04" w14:textId="39D0ECB7" w:rsidR="002D453C" w:rsidRDefault="002D453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53C">
        <w:rPr>
          <w:rFonts w:ascii="Times New Roman" w:hAnsi="Times New Roman" w:cs="Times New Roman"/>
          <w:sz w:val="20"/>
          <w:szCs w:val="20"/>
        </w:rPr>
        <w:t>From the perspective of the security component of availability, this strategy is absolutely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essential. It contains information about the people qualified to carry out data recovery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procedures. The circumstances/situations that can cause data recovery are also described.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If data becomes damaged during processing or analysis, data recovery can still be done.</w:t>
      </w:r>
    </w:p>
    <w:p w14:paraId="1F15EDB7" w14:textId="77777777" w:rsidR="0095349C" w:rsidRPr="002D453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FF86296" w14:textId="77777777" w:rsidR="002D453C" w:rsidRPr="0095349C" w:rsidRDefault="002D453C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2.8.2 Storage Policy</w:t>
      </w:r>
    </w:p>
    <w:p w14:paraId="3AE07FED" w14:textId="274D5907" w:rsidR="002D453C" w:rsidRDefault="002D453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53C">
        <w:rPr>
          <w:rFonts w:ascii="Times New Roman" w:hAnsi="Times New Roman" w:cs="Times New Roman"/>
          <w:sz w:val="20"/>
          <w:szCs w:val="20"/>
        </w:rPr>
        <w:t>This policy outlines the storage criteria that must be adhered to in order to prevent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loss or compromise. One of the main points of this policy is that all the raw and processed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data produced on instruments and equipment provided by the vendor must be duplicated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relocated to a local repository for short-term storage and/or further processing and analysis.</w:t>
      </w:r>
    </w:p>
    <w:p w14:paraId="5D5D2953" w14:textId="77777777" w:rsidR="0095349C" w:rsidRPr="002D453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986E94" w14:textId="5D66CE02" w:rsidR="002D453C" w:rsidRPr="0095349C" w:rsidRDefault="002D453C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1F60C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95349C">
        <w:rPr>
          <w:rFonts w:ascii="Times New Roman" w:hAnsi="Times New Roman" w:cs="Times New Roman"/>
          <w:b/>
          <w:bCs/>
          <w:sz w:val="20"/>
          <w:szCs w:val="20"/>
        </w:rPr>
        <w:t xml:space="preserve"> Threat Space</w:t>
      </w:r>
    </w:p>
    <w:p w14:paraId="60B3D72B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FD7088B" w14:textId="5A072F71" w:rsidR="002D453C" w:rsidRPr="0095349C" w:rsidRDefault="002D453C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3.1 Backdoor</w:t>
      </w:r>
    </w:p>
    <w:p w14:paraId="2F7D8B44" w14:textId="6E5273A5" w:rsidR="002D453C" w:rsidRDefault="002D453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53C">
        <w:rPr>
          <w:rFonts w:ascii="Times New Roman" w:hAnsi="Times New Roman" w:cs="Times New Roman"/>
          <w:sz w:val="20"/>
          <w:szCs w:val="20"/>
        </w:rPr>
        <w:t>Companies, including The Center, should take this issue seriously since it gives hostile actors unrestricted access to resources that might have severe effects. Unauthorized users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malevolent users can circumvent security measures in this danger in order to access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resources. Malicious parties can get data about the systems installed in HC through backdoors. Additionally, it has the ability to track user activity and data that may be shared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with C2C servers, potentially disclosing private information at a high cost to HC.</w:t>
      </w:r>
    </w:p>
    <w:p w14:paraId="6C2B77C6" w14:textId="77777777" w:rsidR="0095349C" w:rsidRPr="002D453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E547994" w14:textId="77777777" w:rsidR="002D453C" w:rsidRPr="0095349C" w:rsidRDefault="002D453C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3.2 Cloud Threats</w:t>
      </w:r>
    </w:p>
    <w:p w14:paraId="6BA53C5B" w14:textId="5A9EEA6D" w:rsidR="002D453C" w:rsidRDefault="002D453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53C">
        <w:rPr>
          <w:rFonts w:ascii="Times New Roman" w:hAnsi="Times New Roman" w:cs="Times New Roman"/>
          <w:sz w:val="20"/>
          <w:szCs w:val="20"/>
        </w:rPr>
        <w:t>Because this configuration uses AWS cloud services, HC and Cartagenia must exercise due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vigilance in light of the rising number of cyberthreats. Although AWS cloud services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thought to be safe, appropriate precautions must be taken to ward off dangers. Both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obligations of the cloud service provider and the cloud user should be clearly stated.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these threats to be effectively dealt with, both parties must exercise caution as they carry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out their respective portions of the operations. Improper configuration takes the form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information systems at HC not being hardened as per controls outlined in HC’s policies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procedures. As a result, threat actors may find a way to breach the systems and access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sensitive health data that HC is in possession of.</w:t>
      </w:r>
    </w:p>
    <w:p w14:paraId="1D944F69" w14:textId="77777777" w:rsidR="0095349C" w:rsidRPr="002D453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D0960A6" w14:textId="77777777" w:rsidR="002D453C" w:rsidRPr="0095349C" w:rsidRDefault="002D453C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3.3 Lack of Encryption</w:t>
      </w:r>
    </w:p>
    <w:p w14:paraId="30CD94FD" w14:textId="46204782" w:rsidR="002D453C" w:rsidRDefault="002D453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453C">
        <w:rPr>
          <w:rFonts w:ascii="Times New Roman" w:hAnsi="Times New Roman" w:cs="Times New Roman"/>
          <w:sz w:val="20"/>
          <w:szCs w:val="20"/>
        </w:rPr>
        <w:t>When it comes to adhering to HIPAA rules, encryption is a crucial element. Any organization, including HC, has major difficulties due to weak cryptography suites. Malicious actors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53C">
        <w:rPr>
          <w:rFonts w:ascii="Times New Roman" w:hAnsi="Times New Roman" w:cs="Times New Roman"/>
          <w:sz w:val="20"/>
          <w:szCs w:val="20"/>
        </w:rPr>
        <w:t>may compromise the security and privacy of sensitive health data if data flow between The</w:t>
      </w:r>
      <w:r w:rsidR="00043C9A">
        <w:rPr>
          <w:rFonts w:ascii="Times New Roman" w:hAnsi="Times New Roman" w:cs="Times New Roman"/>
          <w:sz w:val="20"/>
          <w:szCs w:val="20"/>
        </w:rPr>
        <w:t xml:space="preserve"> </w:t>
      </w:r>
      <w:r w:rsidR="00043C9A" w:rsidRPr="00043C9A">
        <w:rPr>
          <w:rFonts w:ascii="Times New Roman" w:hAnsi="Times New Roman" w:cs="Times New Roman"/>
          <w:sz w:val="20"/>
          <w:szCs w:val="20"/>
        </w:rPr>
        <w:t>Center and Cartagenia via the BENCHLab platform is not protected by a strong cryptographic solution. Similar to this, improper data encryption in databases and storage might</w:t>
      </w:r>
      <w:r w:rsidR="00043C9A">
        <w:rPr>
          <w:rFonts w:ascii="Times New Roman" w:hAnsi="Times New Roman" w:cs="Times New Roman"/>
          <w:sz w:val="20"/>
          <w:szCs w:val="20"/>
        </w:rPr>
        <w:t xml:space="preserve"> </w:t>
      </w:r>
      <w:r w:rsidR="00043C9A" w:rsidRPr="00043C9A">
        <w:rPr>
          <w:rFonts w:ascii="Times New Roman" w:hAnsi="Times New Roman" w:cs="Times New Roman"/>
          <w:sz w:val="20"/>
          <w:szCs w:val="20"/>
        </w:rPr>
        <w:t>allow for bad actors to leverage it to their advantage and compromise The Center’s data’s</w:t>
      </w:r>
      <w:r w:rsidR="00043C9A">
        <w:rPr>
          <w:rFonts w:ascii="Times New Roman" w:hAnsi="Times New Roman" w:cs="Times New Roman"/>
          <w:sz w:val="20"/>
          <w:szCs w:val="20"/>
        </w:rPr>
        <w:t xml:space="preserve"> </w:t>
      </w:r>
      <w:r w:rsidR="00043C9A" w:rsidRPr="00043C9A">
        <w:rPr>
          <w:rFonts w:ascii="Times New Roman" w:hAnsi="Times New Roman" w:cs="Times New Roman"/>
          <w:sz w:val="20"/>
          <w:szCs w:val="20"/>
        </w:rPr>
        <w:t>integrity</w:t>
      </w:r>
      <w:r w:rsidR="00043C9A">
        <w:rPr>
          <w:rFonts w:ascii="Times New Roman" w:hAnsi="Times New Roman" w:cs="Times New Roman"/>
          <w:sz w:val="20"/>
          <w:szCs w:val="20"/>
        </w:rPr>
        <w:t>.</w:t>
      </w:r>
    </w:p>
    <w:p w14:paraId="131173A0" w14:textId="77777777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81827B8" w14:textId="7B73585A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3.4 Ransomware</w:t>
      </w:r>
    </w:p>
    <w:p w14:paraId="6356D53E" w14:textId="5DB733A1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The healthcare sector, including cover businesses, is vulnerable to the danger of ransomware.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The Center and other bioinformatics businesses are not an exception. The frequency of ransomware assaults over the last few years is one way it has been demonstrated. If this danger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materializes, it might paralyze all activities by encrypting resources (files) and blocking access to them. Resources can only be accessed by paying a ransom to hostile actors,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occasionally does not work. Malicious actors occasionally steal this material and publish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it on open networks. As a result, it may also affect privacy, secrecy, and availability.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entire system can be affected in a matter of minutes. Access to or disclosure of HC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 xml:space="preserve">might have serious consequences and would be a flagrant </w:t>
      </w:r>
      <w:r w:rsidRPr="00043C9A">
        <w:rPr>
          <w:rFonts w:ascii="Times New Roman" w:hAnsi="Times New Roman" w:cs="Times New Roman"/>
          <w:sz w:val="20"/>
          <w:szCs w:val="20"/>
        </w:rPr>
        <w:lastRenderedPageBreak/>
        <w:t>breach of HIPAA rules. Attacks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using ransomware might take the form of phishing emails, infected USB drives, malicious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downloads, password compromises, malicious file attachments, etc.</w:t>
      </w:r>
    </w:p>
    <w:p w14:paraId="58448213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EEBFE71" w14:textId="77777777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3.5 Malware</w:t>
      </w:r>
    </w:p>
    <w:p w14:paraId="4099AC96" w14:textId="573F03E5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It is described as software that is purposefully created to harm networks, information systems, etc. Malicious software has a large aim. Malwares are a general term for all types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harmful software. This contains spyware, Trojan horses, worms, and viruses. Sensitive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may be improperly divulged and HC’s systems may be breached if safeguards at various tiers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are not correctly enforced. Numerous malwares that propagate by lateral movement have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the ability to affect several computers that are connected to the infected one. The Center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(HC), Cartagenia must thus have appropriate controls in place for all of its systems.</w:t>
      </w:r>
    </w:p>
    <w:p w14:paraId="27853EBC" w14:textId="77777777" w:rsidR="0095349C" w:rsidRPr="00043C9A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27EC4DE" w14:textId="77777777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3.6 Man in the Middle Attack</w:t>
      </w:r>
    </w:p>
    <w:p w14:paraId="46ADDFB6" w14:textId="3DC48445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As the set-up in question involves three different companies (HC, Cartagenia, and AWS),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data communication between them is necessary. Communication between the parties engaged in this setup may be vulnerable to a Man in the Middle attack if it is not done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securely. To address this problem, a strong PKI solution or any comparable mechanism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should be in place. If you don’t, unauthorized people will be able to listen in on your chat.</w:t>
      </w:r>
    </w:p>
    <w:p w14:paraId="371319F7" w14:textId="77777777" w:rsidR="0095349C" w:rsidRPr="00043C9A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76C22E2" w14:textId="77777777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3.7 Physical Threats</w:t>
      </w:r>
    </w:p>
    <w:p w14:paraId="5F90722D" w14:textId="72D7FCD5" w:rsidR="001E59D1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Threats from the physical world are at least as hazardous as those from the technical internet.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It may potentially halt all corporate activities. Physical dangers include, but are not limited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to, earthquake, flood, fire, and system theft. There are many different types of physical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hazards. There must be a disaster recovery [3] center or a center close to one in addition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proper physical and environmental controls. DR is mentioned in the documentation provided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for AWS, but it should also be taken into account for HC and Cartagenia.</w:t>
      </w:r>
    </w:p>
    <w:p w14:paraId="630B6AFE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1021D62" w14:textId="77777777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3.8 Procedural/Legal Threats</w:t>
      </w:r>
    </w:p>
    <w:p w14:paraId="4F634DF7" w14:textId="4814769A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An</w:t>
      </w:r>
      <w:r w:rsidRPr="00043C9A">
        <w:rPr>
          <w:rFonts w:ascii="Times New Roman" w:hAnsi="Times New Roman" w:cs="Times New Roman"/>
          <w:sz w:val="20"/>
          <w:szCs w:val="20"/>
        </w:rPr>
        <w:t xml:space="preserve"> appropriate agreement, similar to the one between Cartagenia and AWS, must exist between HC and Cartagenia. NDA (Non-Disclosure Agreement), right to audit, confidentiality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clause, third party security provision, etc. should all be included in the contract. Without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such an agreement, there will be a considerable risk that HC won’t be able to enforce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rules and regulations that it wants Cartagenia to go by.</w:t>
      </w:r>
    </w:p>
    <w:p w14:paraId="5416D41A" w14:textId="77777777" w:rsidR="0095349C" w:rsidRPr="00043C9A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FB2CB7B" w14:textId="77777777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3.9 Weak Authentication</w:t>
      </w:r>
    </w:p>
    <w:p w14:paraId="7EDA704E" w14:textId="0AD3C157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If robust authentication procedures are not used, HC will be in danger. There are several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types of authentication controls, such as VPN tokens, smartcards, biometric controls,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passwords. The ones that are used most frequently are passwords. Sensitive health information held by HC may be accessed, modified, or altered without authorization if the password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is weak or simple to guess. The BENCHLab platform uses credentials in a similar way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upload data to Cartagenia. If multi-factor authentication is not used or credentials are 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sufficiently strong, there is a high likelihood that malicious actors will engage in unauthorized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activities.</w:t>
      </w:r>
    </w:p>
    <w:p w14:paraId="78ACDC8D" w14:textId="77777777" w:rsidR="0095349C" w:rsidRPr="00043C9A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D13511B" w14:textId="77777777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3.10 Trojan Horse</w:t>
      </w:r>
    </w:p>
    <w:p w14:paraId="0D9B6507" w14:textId="1A960509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It is a specific type of malware that poses as a legitimate software and conceals its dangerous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nature in order to deceive users into believing it to be a real and safe file. Trojan horses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come in a variety of varieties, including exploit Trojans, rootkit Trojans, banker Trojans,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DDoS Trojans, and downloader Trojans, among others. If the restrictions outlined in HC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policies and procedures are not carefully followed, the Center might become a victim of 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danger. This danger may be delivered by email phishing scams or download upgrades.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might remove, obstruct, change, or otherwise negatively affect data, as well as impair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functionality of HC’s information systems.</w:t>
      </w:r>
    </w:p>
    <w:p w14:paraId="084BEED5" w14:textId="77777777" w:rsidR="0095349C" w:rsidRPr="00043C9A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D7F70B9" w14:textId="77777777" w:rsidR="00043C9A" w:rsidRPr="0095349C" w:rsidRDefault="00043C9A" w:rsidP="0095349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5349C">
        <w:rPr>
          <w:rFonts w:ascii="Times New Roman" w:hAnsi="Times New Roman" w:cs="Times New Roman"/>
          <w:b/>
          <w:bCs/>
          <w:sz w:val="20"/>
          <w:szCs w:val="20"/>
        </w:rPr>
        <w:t>3.11 Social Engineering Attack</w:t>
      </w:r>
    </w:p>
    <w:p w14:paraId="14C9DB10" w14:textId="64161C92" w:rsidR="00043C9A" w:rsidRDefault="00043C9A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3C9A">
        <w:rPr>
          <w:rFonts w:ascii="Times New Roman" w:hAnsi="Times New Roman" w:cs="Times New Roman"/>
          <w:sz w:val="20"/>
          <w:szCs w:val="20"/>
        </w:rPr>
        <w:t>These are the kind of assaults that lure people into doing something they shouldn’t. Attackers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can obtain sensitive information about HC, including health information, login passwords,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and other sensitive data, using these methods. One of the best instances is phishing, when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attackers pretend to be well-known people or organizations in order to deceive consumers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into clicking URLs or divulging private information. Employees at HC might become victims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of these assaults if there is a control breach and they are not well trained, which will have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3C9A">
        <w:rPr>
          <w:rFonts w:ascii="Times New Roman" w:hAnsi="Times New Roman" w:cs="Times New Roman"/>
          <w:sz w:val="20"/>
          <w:szCs w:val="20"/>
        </w:rPr>
        <w:t>major repercussions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F52F9E9" w14:textId="77777777" w:rsidR="0095349C" w:rsidRDefault="0095349C" w:rsidP="009534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A1395AE" w14:textId="77777777" w:rsidR="00301C96" w:rsidRDefault="00301C96" w:rsidP="00301C9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01C96">
        <w:rPr>
          <w:rFonts w:ascii="Times New Roman" w:hAnsi="Times New Roman" w:cs="Times New Roman"/>
          <w:b/>
          <w:bCs/>
          <w:sz w:val="20"/>
          <w:szCs w:val="20"/>
        </w:rPr>
        <w:t>3.12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b/>
          <w:bCs/>
          <w:sz w:val="20"/>
          <w:szCs w:val="20"/>
        </w:rPr>
        <w:t>Improper Authorization</w:t>
      </w:r>
    </w:p>
    <w:p w14:paraId="7B9BF2B5" w14:textId="2C671815" w:rsidR="00301C96" w:rsidRDefault="00301C96" w:rsidP="0095349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1C96">
        <w:rPr>
          <w:rFonts w:ascii="Times New Roman" w:hAnsi="Times New Roman" w:cs="Times New Roman"/>
          <w:b/>
          <w:bCs/>
          <w:sz w:val="20"/>
          <w:szCs w:val="20"/>
        </w:rPr>
        <w:lastRenderedPageBreak/>
        <w:br/>
      </w:r>
      <w:r w:rsidRPr="00301C96">
        <w:rPr>
          <w:rFonts w:ascii="Times New Roman" w:hAnsi="Times New Roman" w:cs="Times New Roman"/>
          <w:sz w:val="20"/>
          <w:szCs w:val="20"/>
        </w:rPr>
        <w:t>In order to prevent principals or subjects from obtaining access privileges they are not meant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 xml:space="preserve">to have,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01C96">
        <w:rPr>
          <w:rFonts w:ascii="Times New Roman" w:hAnsi="Times New Roman" w:cs="Times New Roman"/>
          <w:sz w:val="20"/>
          <w:szCs w:val="20"/>
        </w:rPr>
        <w:t>uthorization entails defining and tightly enforcing appropriate access permissions.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Inaccurate implementation in HC or Cartagenia might lead to the unauthorized exposure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private medical information. One of these problems that HC must address is authorization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misuse.</w:t>
      </w:r>
    </w:p>
    <w:p w14:paraId="0017AD25" w14:textId="275A2209" w:rsidR="00301C96" w:rsidRDefault="00301C96" w:rsidP="00301C9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01C96">
        <w:rPr>
          <w:rFonts w:ascii="Times New Roman" w:hAnsi="Times New Roman" w:cs="Times New Roman"/>
          <w:sz w:val="20"/>
          <w:szCs w:val="20"/>
        </w:rPr>
        <w:br/>
      </w:r>
      <w:r w:rsidRPr="00301C96"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301C96">
        <w:rPr>
          <w:rFonts w:ascii="Times New Roman" w:hAnsi="Times New Roman" w:cs="Times New Roman"/>
          <w:b/>
          <w:bCs/>
          <w:sz w:val="20"/>
          <w:szCs w:val="20"/>
        </w:rPr>
        <w:t xml:space="preserve"> Access Control Policies</w:t>
      </w:r>
    </w:p>
    <w:p w14:paraId="255D2888" w14:textId="2D301982" w:rsidR="00301C96" w:rsidRDefault="00301C96" w:rsidP="0095349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1C96">
        <w:rPr>
          <w:rFonts w:ascii="Times New Roman" w:hAnsi="Times New Roman" w:cs="Times New Roman"/>
          <w:sz w:val="20"/>
          <w:szCs w:val="20"/>
        </w:rPr>
        <w:t>From a DAC standpoint, the decision of whether the subject can access the object is made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 xml:space="preserve">by the data owner.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301C96">
        <w:rPr>
          <w:rFonts w:ascii="Times New Roman" w:hAnsi="Times New Roman" w:cs="Times New Roman"/>
          <w:sz w:val="20"/>
          <w:szCs w:val="20"/>
        </w:rPr>
        <w:t>he HC IT director or the Bioinformatics director will choose the users’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access privileges in the hypothetical situation. Whether or whether the user may access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item. Subject levels are modified, it is assumed. In order to get the access policy specified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by the document, confidentiality and integrity levels are defined [11].</w:t>
      </w:r>
    </w:p>
    <w:p w14:paraId="55B0B843" w14:textId="74561992" w:rsidR="00301C96" w:rsidRDefault="00301C96" w:rsidP="00301C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1C96">
        <w:rPr>
          <w:rFonts w:ascii="Times New Roman" w:hAnsi="Times New Roman" w:cs="Times New Roman"/>
          <w:sz w:val="20"/>
          <w:szCs w:val="20"/>
        </w:rPr>
        <w:br/>
      </w:r>
      <w:r w:rsidRPr="00301C96">
        <w:rPr>
          <w:rFonts w:ascii="Times New Roman" w:hAnsi="Times New Roman" w:cs="Times New Roman"/>
          <w:b/>
          <w:bCs/>
          <w:sz w:val="20"/>
          <w:szCs w:val="20"/>
        </w:rPr>
        <w:t>4.1 Subjects</w:t>
      </w:r>
    </w:p>
    <w:p w14:paraId="6667723D" w14:textId="47D87296" w:rsidR="00301C96" w:rsidRPr="00301C96" w:rsidRDefault="00301C96" w:rsidP="00301C96">
      <w:pPr>
        <w:rPr>
          <w:rFonts w:ascii="Times New Roman" w:hAnsi="Times New Roman" w:cs="Times New Roman"/>
          <w:sz w:val="20"/>
          <w:szCs w:val="20"/>
        </w:rPr>
      </w:pPr>
      <w:r w:rsidRPr="00301C96">
        <w:rPr>
          <w:rFonts w:ascii="Times New Roman" w:hAnsi="Times New Roman" w:cs="Times New Roman"/>
          <w:sz w:val="20"/>
          <w:szCs w:val="20"/>
        </w:rPr>
        <w:t>The objects and subjects are mentioned in Table 1.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755"/>
      </w:tblGrid>
      <w:tr w:rsidR="00301C96" w:rsidRPr="00301C96" w14:paraId="0F45F14C" w14:textId="77777777" w:rsidTr="00DF785C">
        <w:trPr>
          <w:trHeight w:val="232"/>
          <w:jc w:val="center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68320" w14:textId="28BAF1E8" w:rsidR="00301C96" w:rsidRPr="00301C96" w:rsidRDefault="00301C96" w:rsidP="00301C9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12ADC" w14:textId="77777777" w:rsidR="00301C96" w:rsidRPr="00301C96" w:rsidRDefault="00301C96" w:rsidP="00301C9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C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Subjects</w:t>
            </w:r>
          </w:p>
        </w:tc>
      </w:tr>
      <w:tr w:rsidR="00301C96" w:rsidRPr="00301C96" w14:paraId="6294D922" w14:textId="77777777" w:rsidTr="00301C96">
        <w:trPr>
          <w:jc w:val="center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6AD01" w14:textId="616442E9" w:rsidR="00301C96" w:rsidRPr="00301C96" w:rsidRDefault="00301C96" w:rsidP="00301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1C96">
              <w:rPr>
                <w:rFonts w:ascii="Times New Roman" w:hAnsi="Times New Roman" w:cs="Times New Roman"/>
                <w:sz w:val="20"/>
                <w:szCs w:val="20"/>
              </w:rPr>
              <w:t>Clinical Data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HLA Data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1018D"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Raw Data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Research Data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7C245" w14:textId="7FF9698F" w:rsidR="00301C96" w:rsidRPr="00301C96" w:rsidRDefault="00301C96" w:rsidP="00301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1C96">
              <w:rPr>
                <w:rFonts w:ascii="Times New Roman" w:hAnsi="Times New Roman" w:cs="Times New Roman"/>
                <w:sz w:val="20"/>
                <w:szCs w:val="20"/>
              </w:rPr>
              <w:t>Bioinfo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Bioinfoclin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Clinical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HLA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Research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  <w:t>Root</w:t>
            </w:r>
            <w:r w:rsidRPr="00301C9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F1C84">
              <w:rPr>
                <w:rFonts w:ascii="Times New Roman" w:hAnsi="Times New Roman" w:cs="Times New Roman"/>
                <w:sz w:val="20"/>
                <w:szCs w:val="20"/>
              </w:rPr>
              <w:t>SMBGroup</w:t>
            </w:r>
          </w:p>
        </w:tc>
      </w:tr>
    </w:tbl>
    <w:p w14:paraId="33F27A42" w14:textId="77777777" w:rsidR="00301C96" w:rsidRDefault="00301C96" w:rsidP="00301C9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01C96">
        <w:rPr>
          <w:rFonts w:ascii="Times New Roman" w:hAnsi="Times New Roman" w:cs="Times New Roman"/>
          <w:sz w:val="20"/>
          <w:szCs w:val="20"/>
        </w:rPr>
        <w:t>Table 1: List of Objects and Subjects</w:t>
      </w:r>
      <w:r w:rsidRPr="00301C96">
        <w:rPr>
          <w:rFonts w:ascii="Times New Roman" w:hAnsi="Times New Roman" w:cs="Times New Roman"/>
          <w:sz w:val="20"/>
          <w:szCs w:val="20"/>
        </w:rPr>
        <w:br/>
      </w:r>
    </w:p>
    <w:p w14:paraId="4A7762A3" w14:textId="77777777" w:rsidR="005F1C84" w:rsidRDefault="00301C96" w:rsidP="005F1C84">
      <w:pPr>
        <w:rPr>
          <w:rFonts w:ascii="Times New Roman" w:hAnsi="Times New Roman" w:cs="Times New Roman"/>
          <w:sz w:val="20"/>
          <w:szCs w:val="20"/>
        </w:rPr>
      </w:pPr>
      <w:r w:rsidRPr="00301C96">
        <w:rPr>
          <w:rFonts w:ascii="Times New Roman" w:hAnsi="Times New Roman" w:cs="Times New Roman"/>
          <w:b/>
          <w:bCs/>
          <w:sz w:val="20"/>
          <w:szCs w:val="20"/>
        </w:rPr>
        <w:t>4.2 Levels and Categories</w:t>
      </w:r>
      <w:r w:rsidRPr="00301C96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01C96">
        <w:rPr>
          <w:rFonts w:ascii="Times New Roman" w:hAnsi="Times New Roman" w:cs="Times New Roman"/>
          <w:sz w:val="20"/>
          <w:szCs w:val="20"/>
        </w:rPr>
        <w:t>The levels and categories are as mentioned in Table 2.</w:t>
      </w:r>
    </w:p>
    <w:p w14:paraId="025FE392" w14:textId="4BF9FE83" w:rsidR="005F1C84" w:rsidRDefault="00301C96" w:rsidP="005F1C8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1C96">
        <w:rPr>
          <w:rFonts w:ascii="Times New Roman" w:hAnsi="Times New Roman" w:cs="Times New Roman"/>
          <w:sz w:val="20"/>
          <w:szCs w:val="20"/>
        </w:rPr>
        <w:br/>
      </w:r>
      <w:r w:rsidRPr="00301C9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1F60C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301C96">
        <w:rPr>
          <w:rFonts w:ascii="Times New Roman" w:hAnsi="Times New Roman" w:cs="Times New Roman"/>
          <w:b/>
          <w:bCs/>
          <w:sz w:val="20"/>
          <w:szCs w:val="20"/>
        </w:rPr>
        <w:t xml:space="preserve"> Access Class and MAC Labels</w:t>
      </w:r>
    </w:p>
    <w:p w14:paraId="266D96CE" w14:textId="07CC842C" w:rsidR="00043C9A" w:rsidRDefault="00301C96" w:rsidP="005F1C8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01C96">
        <w:rPr>
          <w:rFonts w:ascii="Times New Roman" w:hAnsi="Times New Roman" w:cs="Times New Roman"/>
          <w:sz w:val="20"/>
          <w:szCs w:val="20"/>
        </w:rPr>
        <w:t xml:space="preserve">The level of confidentiality is assumed as Internal </w:t>
      </w:r>
      <w:r w:rsidRPr="00301C96">
        <w:rPr>
          <w:rFonts w:ascii="Times New Roman" w:hAnsi="Times New Roman" w:cs="Times New Roman"/>
          <w:i/>
          <w:iCs/>
          <w:sz w:val="20"/>
          <w:szCs w:val="20"/>
        </w:rPr>
        <w:t xml:space="preserve">&lt; </w:t>
      </w:r>
      <w:r w:rsidRPr="00301C96">
        <w:rPr>
          <w:rFonts w:ascii="Times New Roman" w:hAnsi="Times New Roman" w:cs="Times New Roman"/>
          <w:sz w:val="20"/>
          <w:szCs w:val="20"/>
        </w:rPr>
        <w:t xml:space="preserve">Confidential </w:t>
      </w:r>
      <w:r w:rsidRPr="00301C96">
        <w:rPr>
          <w:rFonts w:ascii="Times New Roman" w:hAnsi="Times New Roman" w:cs="Times New Roman"/>
          <w:i/>
          <w:iCs/>
          <w:sz w:val="20"/>
          <w:szCs w:val="20"/>
        </w:rPr>
        <w:t xml:space="preserve">&lt; </w:t>
      </w:r>
      <w:r w:rsidRPr="00301C96">
        <w:rPr>
          <w:rFonts w:ascii="Times New Roman" w:hAnsi="Times New Roman" w:cs="Times New Roman"/>
          <w:sz w:val="20"/>
          <w:szCs w:val="20"/>
        </w:rPr>
        <w:t>Restricted. The BLP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 xml:space="preserve">Policy [8] for </w:t>
      </w:r>
      <w:r w:rsidR="005F1C84">
        <w:rPr>
          <w:rFonts w:ascii="Times New Roman" w:hAnsi="Times New Roman" w:cs="Times New Roman"/>
          <w:sz w:val="20"/>
          <w:szCs w:val="20"/>
        </w:rPr>
        <w:t>C</w:t>
      </w:r>
      <w:r w:rsidRPr="00301C96">
        <w:rPr>
          <w:rFonts w:ascii="Times New Roman" w:hAnsi="Times New Roman" w:cs="Times New Roman"/>
          <w:sz w:val="20"/>
          <w:szCs w:val="20"/>
        </w:rPr>
        <w:t>onfidentiality/Security follows the No Read Up, No Write Down and BIBA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Policy for Integrity follows the No Read Down, No Write Up [10]. The access classes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1C96">
        <w:rPr>
          <w:rFonts w:ascii="Times New Roman" w:hAnsi="Times New Roman" w:cs="Times New Roman"/>
          <w:sz w:val="20"/>
          <w:szCs w:val="20"/>
        </w:rPr>
        <w:t>MAC Labels defined for The Center in this system are as follows:</w:t>
      </w:r>
    </w:p>
    <w:p w14:paraId="1E6E170C" w14:textId="18DF995E" w:rsidR="00D21A10" w:rsidRPr="00D21A10" w:rsidRDefault="00D21A10" w:rsidP="00D21A10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4350"/>
      </w:tblGrid>
      <w:tr w:rsidR="00D21A10" w:rsidRPr="00D21A10" w14:paraId="724629B5" w14:textId="77777777" w:rsidTr="00D21A10">
        <w:trPr>
          <w:jc w:val="center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6D78B" w14:textId="550B7BC5" w:rsidR="00D21A10" w:rsidRPr="00D21A10" w:rsidRDefault="00D21A10" w:rsidP="00D21A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A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Levels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79B1A" w14:textId="77777777" w:rsidR="00D21A10" w:rsidRPr="00D21A10" w:rsidRDefault="00D21A10" w:rsidP="00D21A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A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Categories</w:t>
            </w:r>
          </w:p>
        </w:tc>
      </w:tr>
      <w:tr w:rsidR="00D21A10" w:rsidRPr="00D21A10" w14:paraId="1E125E62" w14:textId="77777777" w:rsidTr="00D21A10">
        <w:trPr>
          <w:jc w:val="center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AF453" w14:textId="77777777" w:rsidR="00D21A10" w:rsidRPr="00D21A10" w:rsidRDefault="00D21A10" w:rsidP="00D21A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1A10">
              <w:rPr>
                <w:rFonts w:ascii="Times New Roman" w:hAnsi="Times New Roman" w:cs="Times New Roman"/>
                <w:sz w:val="20"/>
                <w:szCs w:val="20"/>
              </w:rPr>
              <w:t>Internal (I)</w:t>
            </w:r>
            <w:r w:rsidRPr="00D21A10">
              <w:rPr>
                <w:rFonts w:ascii="Times New Roman" w:hAnsi="Times New Roman" w:cs="Times New Roman"/>
                <w:sz w:val="20"/>
                <w:szCs w:val="20"/>
              </w:rPr>
              <w:br/>
              <w:t>Confidential (C)</w:t>
            </w:r>
            <w:r w:rsidRPr="00D21A10">
              <w:rPr>
                <w:rFonts w:ascii="Times New Roman" w:hAnsi="Times New Roman" w:cs="Times New Roman"/>
                <w:sz w:val="20"/>
                <w:szCs w:val="20"/>
              </w:rPr>
              <w:br/>
              <w:t>Restricted (R)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BD977" w14:textId="4E791BE8" w:rsidR="00D21A10" w:rsidRPr="00D21A10" w:rsidRDefault="00D21A10" w:rsidP="00D21A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1A10">
              <w:rPr>
                <w:rFonts w:ascii="Times New Roman" w:hAnsi="Times New Roman" w:cs="Times New Roman"/>
                <w:sz w:val="20"/>
                <w:szCs w:val="20"/>
              </w:rPr>
              <w:t>Clinical Information (CI)</w:t>
            </w:r>
            <w:r w:rsidRPr="00D21A10">
              <w:rPr>
                <w:rFonts w:ascii="Times New Roman" w:hAnsi="Times New Roman" w:cs="Times New Roman"/>
                <w:sz w:val="20"/>
                <w:szCs w:val="20"/>
              </w:rPr>
              <w:br/>
              <w:t>HLA Information (HI)</w:t>
            </w:r>
            <w:r w:rsidRPr="00D21A1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1018D"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D21A10">
              <w:rPr>
                <w:rFonts w:ascii="Times New Roman" w:hAnsi="Times New Roman" w:cs="Times New Roman"/>
                <w:sz w:val="20"/>
                <w:szCs w:val="20"/>
              </w:rPr>
              <w:t xml:space="preserve"> Information (NCI)</w:t>
            </w:r>
            <w:r w:rsidRPr="00D21A10">
              <w:rPr>
                <w:rFonts w:ascii="Times New Roman" w:hAnsi="Times New Roman" w:cs="Times New Roman"/>
                <w:sz w:val="20"/>
                <w:szCs w:val="20"/>
              </w:rPr>
              <w:br/>
              <w:t>Raw Information (RI)</w:t>
            </w:r>
            <w:r w:rsidRPr="00D21A10">
              <w:rPr>
                <w:rFonts w:ascii="Times New Roman" w:hAnsi="Times New Roman" w:cs="Times New Roman"/>
                <w:sz w:val="20"/>
                <w:szCs w:val="20"/>
              </w:rPr>
              <w:br/>
              <w:t>Research Information (REI)</w:t>
            </w:r>
          </w:p>
        </w:tc>
      </w:tr>
    </w:tbl>
    <w:p w14:paraId="4AFCDFF7" w14:textId="77777777" w:rsidR="00D21A10" w:rsidRDefault="00D21A10" w:rsidP="00D21A10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21A10">
        <w:rPr>
          <w:rFonts w:ascii="Times New Roman" w:hAnsi="Times New Roman" w:cs="Times New Roman"/>
          <w:sz w:val="20"/>
          <w:szCs w:val="20"/>
        </w:rPr>
        <w:t>Table 2: List of Levels and Categories</w:t>
      </w:r>
      <w:r w:rsidRPr="00D21A10">
        <w:rPr>
          <w:rFonts w:ascii="Times New Roman" w:hAnsi="Times New Roman" w:cs="Times New Roman"/>
          <w:sz w:val="20"/>
          <w:szCs w:val="20"/>
        </w:rPr>
        <w:br/>
      </w:r>
    </w:p>
    <w:p w14:paraId="288CEFB8" w14:textId="33A0CF46" w:rsidR="001F60C6" w:rsidRPr="001F60C6" w:rsidRDefault="00D21A10" w:rsidP="001F60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1A10">
        <w:rPr>
          <w:rFonts w:ascii="Times New Roman" w:hAnsi="Times New Roman" w:cs="Times New Roman"/>
          <w:b/>
          <w:bCs/>
          <w:sz w:val="20"/>
          <w:szCs w:val="20"/>
        </w:rPr>
        <w:t>5.1 Confidential</w:t>
      </w:r>
      <w:r w:rsidRPr="00D21A1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21A10">
        <w:rPr>
          <w:rFonts w:ascii="Times New Roman" w:hAnsi="Times New Roman" w:cs="Times New Roman"/>
          <w:sz w:val="20"/>
          <w:szCs w:val="20"/>
        </w:rPr>
        <w:t>In here Confidential is referred to C:</w:t>
      </w:r>
      <w:r w:rsidRPr="00D21A10">
        <w:rPr>
          <w:rFonts w:ascii="Times New Roman" w:hAnsi="Times New Roman" w:cs="Times New Roman"/>
          <w:sz w:val="20"/>
          <w:szCs w:val="20"/>
        </w:rPr>
        <w:br/>
      </w:r>
      <w:r w:rsidR="001F60C6" w:rsidRPr="001F60C6">
        <w:rPr>
          <w:rFonts w:ascii="Times New Roman" w:hAnsi="Times New Roman" w:cs="Times New Roman"/>
          <w:sz w:val="20"/>
          <w:szCs w:val="20"/>
        </w:rPr>
        <w:t>(C, {</w:t>
      </w:r>
      <w:proofErr w:type="gramStart"/>
      <w:r w:rsidR="001F60C6" w:rsidRPr="001F60C6">
        <w:rPr>
          <w:rFonts w:ascii="Times New Roman" w:hAnsi="Times New Roman" w:cs="Times New Roman"/>
          <w:sz w:val="20"/>
          <w:szCs w:val="20"/>
        </w:rPr>
        <w:t>NCI,HI</w:t>
      </w:r>
      <w:proofErr w:type="gramEnd"/>
      <w:r w:rsidR="001F60C6" w:rsidRPr="001F60C6">
        <w:rPr>
          <w:rFonts w:ascii="Times New Roman" w:hAnsi="Times New Roman" w:cs="Times New Roman"/>
          <w:sz w:val="20"/>
          <w:szCs w:val="20"/>
        </w:rPr>
        <w:t>,REI,RI})</w:t>
      </w:r>
      <w:r w:rsidR="00933BF6">
        <w:rPr>
          <w:rFonts w:ascii="Times New Roman" w:hAnsi="Times New Roman" w:cs="Times New Roman"/>
          <w:sz w:val="20"/>
          <w:szCs w:val="20"/>
        </w:rPr>
        <w:t xml:space="preserve"> | </w:t>
      </w:r>
      <w:r w:rsidR="001F60C6" w:rsidRPr="001F60C6">
        <w:rPr>
          <w:rFonts w:ascii="Times New Roman" w:hAnsi="Times New Roman" w:cs="Times New Roman"/>
          <w:sz w:val="20"/>
          <w:szCs w:val="20"/>
        </w:rPr>
        <w:t>(C, {NCI,HI,REI}), (C, {NCI,REI,RI}), (C, {NCI,HI,RI}), (C, {HI,REI,RI})</w:t>
      </w:r>
      <w:r w:rsidR="00933BF6">
        <w:rPr>
          <w:rFonts w:ascii="Times New Roman" w:hAnsi="Times New Roman" w:cs="Times New Roman"/>
          <w:sz w:val="20"/>
          <w:szCs w:val="20"/>
        </w:rPr>
        <w:t xml:space="preserve"> | </w:t>
      </w:r>
    </w:p>
    <w:p w14:paraId="581631DC" w14:textId="4C93947A" w:rsidR="00D21A10" w:rsidRDefault="001F60C6" w:rsidP="001F60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>(C, {</w:t>
      </w:r>
      <w:proofErr w:type="gramStart"/>
      <w:r w:rsidRPr="001F60C6">
        <w:rPr>
          <w:rFonts w:ascii="Times New Roman" w:hAnsi="Times New Roman" w:cs="Times New Roman"/>
          <w:sz w:val="20"/>
          <w:szCs w:val="20"/>
        </w:rPr>
        <w:t>NCI,HI</w:t>
      </w:r>
      <w:proofErr w:type="gramEnd"/>
      <w:r w:rsidRPr="001F60C6">
        <w:rPr>
          <w:rFonts w:ascii="Times New Roman" w:hAnsi="Times New Roman" w:cs="Times New Roman"/>
          <w:sz w:val="20"/>
          <w:szCs w:val="20"/>
        </w:rPr>
        <w:t>}), (C, {NCI,REI}), (C, {NCI,RI}), (C, {HI,REI}), (C, {HI,RI}), (C, {REI,RI})</w:t>
      </w:r>
      <w:r w:rsidR="00933BF6">
        <w:rPr>
          <w:rFonts w:ascii="Times New Roman" w:hAnsi="Times New Roman" w:cs="Times New Roman"/>
          <w:sz w:val="20"/>
          <w:szCs w:val="20"/>
        </w:rPr>
        <w:t xml:space="preserve"> | </w:t>
      </w:r>
      <w:r w:rsidRPr="001F60C6">
        <w:rPr>
          <w:rFonts w:ascii="Times New Roman" w:hAnsi="Times New Roman" w:cs="Times New Roman"/>
          <w:sz w:val="20"/>
          <w:szCs w:val="20"/>
        </w:rPr>
        <w:t>(C, {NCI}), (C, {HI}), (C, {REI}), (C, {RI})</w:t>
      </w:r>
    </w:p>
    <w:p w14:paraId="495E278B" w14:textId="3BA9FB24" w:rsidR="00D21A10" w:rsidRDefault="00D21A10" w:rsidP="001F60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1A10">
        <w:rPr>
          <w:rFonts w:ascii="Times New Roman" w:hAnsi="Times New Roman" w:cs="Times New Roman"/>
          <w:sz w:val="20"/>
          <w:szCs w:val="20"/>
        </w:rPr>
        <w:br/>
      </w:r>
      <w:r w:rsidRPr="00D21A10">
        <w:rPr>
          <w:rFonts w:ascii="Times New Roman" w:hAnsi="Times New Roman" w:cs="Times New Roman"/>
          <w:b/>
          <w:bCs/>
          <w:sz w:val="20"/>
          <w:szCs w:val="20"/>
        </w:rPr>
        <w:t>5.2 Internal</w:t>
      </w:r>
      <w:r w:rsidRPr="00D21A1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21A10">
        <w:rPr>
          <w:rFonts w:ascii="Times New Roman" w:hAnsi="Times New Roman" w:cs="Times New Roman"/>
          <w:sz w:val="20"/>
          <w:szCs w:val="20"/>
        </w:rPr>
        <w:t>In here Internal is referred to I:</w:t>
      </w:r>
      <w:r w:rsidRPr="00D21A10">
        <w:rPr>
          <w:rFonts w:ascii="Times New Roman" w:hAnsi="Times New Roman" w:cs="Times New Roman"/>
          <w:sz w:val="20"/>
          <w:szCs w:val="20"/>
        </w:rPr>
        <w:br/>
      </w:r>
      <w:r w:rsidR="001F60C6" w:rsidRPr="001F60C6">
        <w:rPr>
          <w:rFonts w:ascii="Times New Roman" w:hAnsi="Times New Roman" w:cs="Times New Roman"/>
          <w:sz w:val="20"/>
          <w:szCs w:val="20"/>
        </w:rPr>
        <w:t>(I, {</w:t>
      </w:r>
      <w:proofErr w:type="gramStart"/>
      <w:r w:rsidR="001F60C6" w:rsidRPr="001F60C6">
        <w:rPr>
          <w:rFonts w:ascii="Times New Roman" w:hAnsi="Times New Roman" w:cs="Times New Roman"/>
          <w:sz w:val="20"/>
          <w:szCs w:val="20"/>
        </w:rPr>
        <w:t>RI,NCI</w:t>
      </w:r>
      <w:proofErr w:type="gramEnd"/>
      <w:r w:rsidR="001F60C6" w:rsidRPr="001F60C6">
        <w:rPr>
          <w:rFonts w:ascii="Times New Roman" w:hAnsi="Times New Roman" w:cs="Times New Roman"/>
          <w:sz w:val="20"/>
          <w:szCs w:val="20"/>
        </w:rPr>
        <w:t>})</w:t>
      </w:r>
      <w:r w:rsidR="00933BF6">
        <w:rPr>
          <w:rFonts w:ascii="Times New Roman" w:hAnsi="Times New Roman" w:cs="Times New Roman"/>
          <w:sz w:val="20"/>
          <w:szCs w:val="20"/>
        </w:rPr>
        <w:t xml:space="preserve"> | </w:t>
      </w:r>
      <w:r w:rsidR="001F60C6" w:rsidRPr="001F60C6">
        <w:rPr>
          <w:rFonts w:ascii="Times New Roman" w:hAnsi="Times New Roman" w:cs="Times New Roman"/>
          <w:sz w:val="20"/>
          <w:szCs w:val="20"/>
        </w:rPr>
        <w:t>(I, {RI}), (I, {NCI})</w:t>
      </w:r>
    </w:p>
    <w:p w14:paraId="52C808E0" w14:textId="77777777" w:rsidR="00933BF6" w:rsidRDefault="00D21A10" w:rsidP="00933BF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21A10">
        <w:rPr>
          <w:rFonts w:ascii="Times New Roman" w:hAnsi="Times New Roman" w:cs="Times New Roman"/>
          <w:sz w:val="20"/>
          <w:szCs w:val="20"/>
        </w:rPr>
        <w:br/>
      </w:r>
      <w:r w:rsidRPr="00D21A10">
        <w:rPr>
          <w:rFonts w:ascii="Times New Roman" w:hAnsi="Times New Roman" w:cs="Times New Roman"/>
          <w:b/>
          <w:bCs/>
          <w:sz w:val="20"/>
          <w:szCs w:val="20"/>
        </w:rPr>
        <w:t>5.3 Restricted</w:t>
      </w:r>
    </w:p>
    <w:p w14:paraId="5A3580BF" w14:textId="2FA7AFE5" w:rsidR="00933BF6" w:rsidRDefault="00D21A10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1A10">
        <w:rPr>
          <w:rFonts w:ascii="Times New Roman" w:hAnsi="Times New Roman" w:cs="Times New Roman"/>
          <w:sz w:val="20"/>
          <w:szCs w:val="20"/>
        </w:rPr>
        <w:t>In here Restricted is referred to R:</w:t>
      </w:r>
    </w:p>
    <w:p w14:paraId="3A8DB28C" w14:textId="2B63D323" w:rsidR="00933BF6" w:rsidRPr="00933BF6" w:rsidRDefault="00933BF6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BF6">
        <w:rPr>
          <w:rFonts w:ascii="Times New Roman" w:hAnsi="Times New Roman" w:cs="Times New Roman"/>
          <w:sz w:val="20"/>
          <w:szCs w:val="20"/>
        </w:rPr>
        <w:lastRenderedPageBreak/>
        <w:t>(R, {NCI,RI,CI,NEI,HI})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(R, {NCI,RI,CI,REI}), (R, {NCI,RI,CI,HI}), (R, {NCI,CI,REI,HI}), (R, {NCI,RI,REI,HI}),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(R, {RI,CI,REI,HI})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(R, {NCI,RI,CI}), (R, {NCI,RI,REI}), (R, {NCI,RI,HI}), (R, {NCI,CI,REI}), (R, {NCI,CI,HI}),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(R, {NCI,REI,HI}), (R, {RI,CI,REI}), (R, {RI,CI,HI}), (R, {RI,REI,HI}), (R, {CI,REI,HI})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(R, {NCI,RI}), (R, {NCI,CI}), (R, {NCI,REI}), (R, {NCI,HI}), (R, {RI,CI}), (R, {RI,REI}),</w:t>
      </w:r>
    </w:p>
    <w:p w14:paraId="2ECD13CD" w14:textId="75DCC0A0" w:rsidR="00D21A10" w:rsidRDefault="00933BF6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BF6">
        <w:rPr>
          <w:rFonts w:ascii="Times New Roman" w:hAnsi="Times New Roman" w:cs="Times New Roman"/>
          <w:sz w:val="20"/>
          <w:szCs w:val="20"/>
        </w:rPr>
        <w:t>(R, {</w:t>
      </w:r>
      <w:proofErr w:type="gramStart"/>
      <w:r w:rsidRPr="00933BF6">
        <w:rPr>
          <w:rFonts w:ascii="Times New Roman" w:hAnsi="Times New Roman" w:cs="Times New Roman"/>
          <w:sz w:val="20"/>
          <w:szCs w:val="20"/>
        </w:rPr>
        <w:t>RI,HI</w:t>
      </w:r>
      <w:proofErr w:type="gramEnd"/>
      <w:r w:rsidRPr="00933BF6">
        <w:rPr>
          <w:rFonts w:ascii="Times New Roman" w:hAnsi="Times New Roman" w:cs="Times New Roman"/>
          <w:sz w:val="20"/>
          <w:szCs w:val="20"/>
        </w:rPr>
        <w:t>}), (R, {CI,REI}), (R, {CI,HI}), (R, {REI,HI})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(R, {NCI}), (R, {RI}), (R, {CI}), (R, {REI}), (R, {HI})</w:t>
      </w:r>
    </w:p>
    <w:p w14:paraId="19B57025" w14:textId="77777777" w:rsidR="00933BF6" w:rsidRDefault="00D21A10" w:rsidP="00933BF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21A10">
        <w:rPr>
          <w:rFonts w:ascii="Times New Roman" w:hAnsi="Times New Roman" w:cs="Times New Roman"/>
          <w:sz w:val="20"/>
          <w:szCs w:val="20"/>
        </w:rPr>
        <w:br/>
      </w:r>
      <w:r w:rsidRPr="00D21A10">
        <w:rPr>
          <w:rFonts w:ascii="Times New Roman" w:hAnsi="Times New Roman" w:cs="Times New Roman"/>
          <w:b/>
          <w:bCs/>
          <w:sz w:val="20"/>
          <w:szCs w:val="20"/>
        </w:rPr>
        <w:t>5.4 Subjects and their corresponding Labels</w:t>
      </w:r>
    </w:p>
    <w:p w14:paraId="5D34573E" w14:textId="2BF63B1A" w:rsidR="0035140F" w:rsidRDefault="00933BF6" w:rsidP="00933B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33BF6">
        <w:rPr>
          <w:rFonts w:ascii="Times New Roman" w:hAnsi="Times New Roman" w:cs="Times New Roman"/>
          <w:sz w:val="20"/>
          <w:szCs w:val="20"/>
        </w:rPr>
        <w:t>Root: (R, {</w:t>
      </w:r>
      <w:proofErr w:type="gramStart"/>
      <w:r w:rsidRPr="00933BF6">
        <w:rPr>
          <w:rFonts w:ascii="Times New Roman" w:hAnsi="Times New Roman" w:cs="Times New Roman"/>
          <w:sz w:val="20"/>
          <w:szCs w:val="20"/>
        </w:rPr>
        <w:t>CI,NCI</w:t>
      </w:r>
      <w:proofErr w:type="gramEnd"/>
      <w:r w:rsidRPr="00933BF6">
        <w:rPr>
          <w:rFonts w:ascii="Times New Roman" w:hAnsi="Times New Roman" w:cs="Times New Roman"/>
          <w:sz w:val="20"/>
          <w:szCs w:val="20"/>
        </w:rPr>
        <w:t>,RI,REI,HI}), (R, {CI}), (C, {NCI}), (C, {REI}), (C, {HI, REI}), (I,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{RI})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Bioinfo: (C, {NCI})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BioInfoclin: (R, {CI})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Clinical: (R, {CI})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HLA: (C, {HI,REI})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Research: (C, {REI, HI,RI}), (C, {REI})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SMBGroup: (I, {RI})</w:t>
      </w:r>
    </w:p>
    <w:p w14:paraId="35471745" w14:textId="1BC8062E" w:rsidR="00933BF6" w:rsidRPr="00933BF6" w:rsidRDefault="0035140F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140F">
        <w:rPr>
          <w:rFonts w:ascii="Times New Roman" w:hAnsi="Times New Roman" w:cs="Times New Roman"/>
          <w:sz w:val="20"/>
          <w:szCs w:val="20"/>
        </w:rPr>
        <w:br/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t>5.5 Objects and their corresponding Integrity Labels</w:t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933BF6" w:rsidRPr="00933BF6">
        <w:rPr>
          <w:rFonts w:ascii="Times New Roman" w:hAnsi="Times New Roman" w:cs="Times New Roman"/>
          <w:sz w:val="20"/>
          <w:szCs w:val="20"/>
        </w:rPr>
        <w:t>Clinical Data: (R, {ICI})</w:t>
      </w:r>
      <w:r w:rsidR="00933BF6">
        <w:rPr>
          <w:rFonts w:ascii="Times New Roman" w:hAnsi="Times New Roman" w:cs="Times New Roman"/>
          <w:sz w:val="20"/>
          <w:szCs w:val="20"/>
        </w:rPr>
        <w:t xml:space="preserve"> | </w:t>
      </w:r>
      <w:r w:rsidR="00933BF6" w:rsidRPr="00933BF6">
        <w:rPr>
          <w:rFonts w:ascii="Times New Roman" w:hAnsi="Times New Roman" w:cs="Times New Roman"/>
          <w:sz w:val="20"/>
          <w:szCs w:val="20"/>
        </w:rPr>
        <w:t>HLA Data: (C, {</w:t>
      </w:r>
      <w:proofErr w:type="gramStart"/>
      <w:r w:rsidR="00933BF6" w:rsidRPr="00933BF6">
        <w:rPr>
          <w:rFonts w:ascii="Times New Roman" w:hAnsi="Times New Roman" w:cs="Times New Roman"/>
          <w:sz w:val="20"/>
          <w:szCs w:val="20"/>
        </w:rPr>
        <w:t>IHI,IREI</w:t>
      </w:r>
      <w:proofErr w:type="gramEnd"/>
      <w:r w:rsidR="00933BF6" w:rsidRPr="00933BF6">
        <w:rPr>
          <w:rFonts w:ascii="Times New Roman" w:hAnsi="Times New Roman" w:cs="Times New Roman"/>
          <w:sz w:val="20"/>
          <w:szCs w:val="20"/>
        </w:rPr>
        <w:t>})</w:t>
      </w:r>
      <w:r w:rsidR="00933BF6">
        <w:rPr>
          <w:rFonts w:ascii="Times New Roman" w:hAnsi="Times New Roman" w:cs="Times New Roman"/>
          <w:sz w:val="20"/>
          <w:szCs w:val="20"/>
        </w:rPr>
        <w:t xml:space="preserve"> | </w:t>
      </w:r>
      <w:r w:rsidR="00933BF6" w:rsidRPr="00933BF6">
        <w:rPr>
          <w:rFonts w:ascii="Times New Roman" w:hAnsi="Times New Roman" w:cs="Times New Roman"/>
          <w:sz w:val="20"/>
          <w:szCs w:val="20"/>
        </w:rPr>
        <w:t>Non Clinical Data: (C, {INCI})</w:t>
      </w:r>
      <w:r w:rsidR="00933BF6">
        <w:rPr>
          <w:rFonts w:ascii="Times New Roman" w:hAnsi="Times New Roman" w:cs="Times New Roman"/>
          <w:sz w:val="20"/>
          <w:szCs w:val="20"/>
        </w:rPr>
        <w:t xml:space="preserve"> | </w:t>
      </w:r>
      <w:r w:rsidR="00933BF6" w:rsidRPr="00933BF6">
        <w:rPr>
          <w:rFonts w:ascii="Times New Roman" w:hAnsi="Times New Roman" w:cs="Times New Roman"/>
          <w:sz w:val="20"/>
          <w:szCs w:val="20"/>
        </w:rPr>
        <w:t>Raw Data: (I, {IRI})</w:t>
      </w:r>
    </w:p>
    <w:p w14:paraId="77DF584C" w14:textId="035473B5" w:rsidR="0035140F" w:rsidRDefault="00933BF6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BF6">
        <w:rPr>
          <w:rFonts w:ascii="Times New Roman" w:hAnsi="Times New Roman" w:cs="Times New Roman"/>
          <w:sz w:val="20"/>
          <w:szCs w:val="20"/>
        </w:rPr>
        <w:t>Research Data: (C, {IREI}), (C, {</w:t>
      </w:r>
      <w:proofErr w:type="gramStart"/>
      <w:r w:rsidRPr="00933BF6">
        <w:rPr>
          <w:rFonts w:ascii="Times New Roman" w:hAnsi="Times New Roman" w:cs="Times New Roman"/>
          <w:sz w:val="20"/>
          <w:szCs w:val="20"/>
        </w:rPr>
        <w:t>IHI,IREI</w:t>
      </w:r>
      <w:proofErr w:type="gramEnd"/>
      <w:r w:rsidRPr="00933BF6">
        <w:rPr>
          <w:rFonts w:ascii="Times New Roman" w:hAnsi="Times New Roman" w:cs="Times New Roman"/>
          <w:sz w:val="20"/>
          <w:szCs w:val="20"/>
        </w:rPr>
        <w:t>})</w:t>
      </w:r>
    </w:p>
    <w:p w14:paraId="08F43AB4" w14:textId="1C93D524" w:rsidR="00933BF6" w:rsidRPr="00933BF6" w:rsidRDefault="0035140F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140F">
        <w:rPr>
          <w:rFonts w:ascii="Times New Roman" w:hAnsi="Times New Roman" w:cs="Times New Roman"/>
          <w:sz w:val="20"/>
          <w:szCs w:val="20"/>
        </w:rPr>
        <w:br/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t>5.6 Subjects and their corresponding Integrity Labels</w:t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br/>
      </w:r>
      <w:proofErr w:type="gramStart"/>
      <w:r w:rsidR="00933BF6" w:rsidRPr="00933BF6">
        <w:rPr>
          <w:rFonts w:ascii="Times New Roman" w:hAnsi="Times New Roman" w:cs="Times New Roman"/>
          <w:sz w:val="20"/>
          <w:szCs w:val="20"/>
        </w:rPr>
        <w:t>Root :</w:t>
      </w:r>
      <w:proofErr w:type="gramEnd"/>
      <w:r w:rsidR="00933BF6" w:rsidRPr="00933BF6">
        <w:rPr>
          <w:rFonts w:ascii="Times New Roman" w:hAnsi="Times New Roman" w:cs="Times New Roman"/>
          <w:sz w:val="20"/>
          <w:szCs w:val="20"/>
        </w:rPr>
        <w:t xml:space="preserve"> (R, {ICI}), (C, {INCI}), (C,{IREI}), (C, {IHI, IREI}),(R, {ICI,INCI,IRI,IREI,IHI}),</w:t>
      </w:r>
      <w:r w:rsidR="00933BF6">
        <w:rPr>
          <w:rFonts w:ascii="Times New Roman" w:hAnsi="Times New Roman" w:cs="Times New Roman"/>
          <w:sz w:val="20"/>
          <w:szCs w:val="20"/>
        </w:rPr>
        <w:t xml:space="preserve"> </w:t>
      </w:r>
      <w:r w:rsidR="00933BF6" w:rsidRPr="00933BF6">
        <w:rPr>
          <w:rFonts w:ascii="Times New Roman" w:hAnsi="Times New Roman" w:cs="Times New Roman"/>
          <w:sz w:val="20"/>
          <w:szCs w:val="20"/>
        </w:rPr>
        <w:t>(I, {IRI})</w:t>
      </w:r>
    </w:p>
    <w:p w14:paraId="0C1BC59C" w14:textId="73D7D1EC" w:rsidR="00933BF6" w:rsidRPr="00933BF6" w:rsidRDefault="00933BF6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BF6">
        <w:rPr>
          <w:rFonts w:ascii="Times New Roman" w:hAnsi="Times New Roman" w:cs="Times New Roman"/>
          <w:sz w:val="20"/>
          <w:szCs w:val="20"/>
        </w:rPr>
        <w:t>Bioinfo: (C, {INCI})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Bioinfoclin: (R, {ICI})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Clinical: (R, {ICI})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Research: (C, {IREI, IHI}), (C, {IREI})</w:t>
      </w:r>
    </w:p>
    <w:p w14:paraId="3B6D138D" w14:textId="34C67EB7" w:rsidR="0035140F" w:rsidRDefault="00933BF6" w:rsidP="00933B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3BF6">
        <w:rPr>
          <w:rFonts w:ascii="Times New Roman" w:hAnsi="Times New Roman" w:cs="Times New Roman"/>
          <w:sz w:val="20"/>
          <w:szCs w:val="20"/>
        </w:rPr>
        <w:t>HLA: (C, {</w:t>
      </w:r>
      <w:proofErr w:type="gramStart"/>
      <w:r w:rsidRPr="00933BF6">
        <w:rPr>
          <w:rFonts w:ascii="Times New Roman" w:hAnsi="Times New Roman" w:cs="Times New Roman"/>
          <w:sz w:val="20"/>
          <w:szCs w:val="20"/>
        </w:rPr>
        <w:t>IREI,IHI</w:t>
      </w:r>
      <w:proofErr w:type="gramEnd"/>
      <w:r w:rsidRPr="00933BF6">
        <w:rPr>
          <w:rFonts w:ascii="Times New Roman" w:hAnsi="Times New Roman" w:cs="Times New Roman"/>
          <w:sz w:val="20"/>
          <w:szCs w:val="20"/>
        </w:rPr>
        <w:t>})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933BF6">
        <w:rPr>
          <w:rFonts w:ascii="Times New Roman" w:hAnsi="Times New Roman" w:cs="Times New Roman"/>
          <w:sz w:val="20"/>
          <w:szCs w:val="20"/>
        </w:rPr>
        <w:t>SMBGroup: (I, {IRI})</w:t>
      </w:r>
    </w:p>
    <w:p w14:paraId="65649965" w14:textId="2CFDFCB7" w:rsidR="005F1C84" w:rsidRDefault="0035140F" w:rsidP="0045628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5140F">
        <w:rPr>
          <w:rFonts w:ascii="Times New Roman" w:hAnsi="Times New Roman" w:cs="Times New Roman"/>
          <w:sz w:val="20"/>
          <w:szCs w:val="20"/>
        </w:rPr>
        <w:br/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DF785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t xml:space="preserve"> Substantiation of Label Assignments to Subjects</w:t>
      </w:r>
    </w:p>
    <w:p w14:paraId="050DF3B2" w14:textId="77777777" w:rsidR="005F1C84" w:rsidRDefault="0035140F" w:rsidP="0045628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5140F">
        <w:rPr>
          <w:rFonts w:ascii="Times New Roman" w:hAnsi="Times New Roman" w:cs="Times New Roman"/>
          <w:sz w:val="20"/>
          <w:szCs w:val="20"/>
        </w:rPr>
        <w:t>The nomenclature used in the following subsection’s heading would be as (Subject-Associated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140F">
        <w:rPr>
          <w:rFonts w:ascii="Times New Roman" w:hAnsi="Times New Roman" w:cs="Times New Roman"/>
          <w:sz w:val="20"/>
          <w:szCs w:val="20"/>
        </w:rPr>
        <w:t>Object with it). The rights of Read and Write are denoted as ’r’ and ’w’ here respectively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140F">
        <w:rPr>
          <w:rFonts w:ascii="Times New Roman" w:hAnsi="Times New Roman" w:cs="Times New Roman"/>
          <w:sz w:val="20"/>
          <w:szCs w:val="20"/>
        </w:rPr>
        <w:t>[9].</w:t>
      </w:r>
    </w:p>
    <w:p w14:paraId="6417496F" w14:textId="77777777" w:rsidR="005F1C84" w:rsidRDefault="0035140F" w:rsidP="0045628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5140F">
        <w:rPr>
          <w:rFonts w:ascii="Times New Roman" w:hAnsi="Times New Roman" w:cs="Times New Roman"/>
          <w:sz w:val="20"/>
          <w:szCs w:val="20"/>
        </w:rPr>
        <w:br/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t xml:space="preserve">6.1 Bioinfo - </w:t>
      </w:r>
      <w:r w:rsidR="0091018D">
        <w:rPr>
          <w:rFonts w:ascii="Times New Roman" w:hAnsi="Times New Roman" w:cs="Times New Roman"/>
          <w:b/>
          <w:bCs/>
          <w:sz w:val="20"/>
          <w:szCs w:val="20"/>
        </w:rPr>
        <w:t>Non-Clinical</w:t>
      </w:r>
      <w:r w:rsidRPr="0035140F">
        <w:rPr>
          <w:rFonts w:ascii="Times New Roman" w:hAnsi="Times New Roman" w:cs="Times New Roman"/>
          <w:b/>
          <w:bCs/>
          <w:sz w:val="20"/>
          <w:szCs w:val="20"/>
        </w:rPr>
        <w:t xml:space="preserve"> Data</w:t>
      </w:r>
    </w:p>
    <w:p w14:paraId="0D2AC585" w14:textId="7372A854" w:rsidR="0035140F" w:rsidRDefault="00933BF6" w:rsidP="00933B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33BF6">
        <w:rPr>
          <w:rFonts w:ascii="Times New Roman" w:hAnsi="Times New Roman" w:cs="Times New Roman"/>
          <w:sz w:val="20"/>
          <w:szCs w:val="20"/>
        </w:rPr>
        <w:t>The security level for Bioinfo is (Confidential, {NCI}), whereas the security level for Nonclinical Data is (Confidential, {NCI}). Here, Bioinfo is capable of both (r, w) access rights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Non-Clinical</w:t>
      </w:r>
      <w:r w:rsidRPr="00933BF6">
        <w:rPr>
          <w:rFonts w:ascii="Times New Roman" w:hAnsi="Times New Roman" w:cs="Times New Roman"/>
          <w:sz w:val="20"/>
          <w:szCs w:val="20"/>
        </w:rPr>
        <w:t xml:space="preserve"> Data. Similar to Bioinfo, </w:t>
      </w:r>
      <w:r w:rsidRPr="00933BF6">
        <w:rPr>
          <w:rFonts w:ascii="Times New Roman" w:hAnsi="Times New Roman" w:cs="Times New Roman"/>
          <w:sz w:val="20"/>
          <w:szCs w:val="20"/>
        </w:rPr>
        <w:t>Non-Clinical</w:t>
      </w:r>
      <w:r w:rsidRPr="00933BF6">
        <w:rPr>
          <w:rFonts w:ascii="Times New Roman" w:hAnsi="Times New Roman" w:cs="Times New Roman"/>
          <w:sz w:val="20"/>
          <w:szCs w:val="20"/>
        </w:rPr>
        <w:t xml:space="preserve"> data also has an integrity level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 xml:space="preserve">(Confidential, {INCI}). Once more, Bioinfo has the ability with access rights: (r, w)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933BF6">
        <w:rPr>
          <w:rFonts w:ascii="Times New Roman" w:hAnsi="Times New Roman" w:cs="Times New Roman"/>
          <w:sz w:val="20"/>
          <w:szCs w:val="20"/>
        </w:rPr>
        <w:t>on-Clinical</w:t>
      </w:r>
      <w:r w:rsidRPr="00933BF6">
        <w:rPr>
          <w:rFonts w:ascii="Times New Roman" w:hAnsi="Times New Roman" w:cs="Times New Roman"/>
          <w:sz w:val="20"/>
          <w:szCs w:val="20"/>
        </w:rPr>
        <w:t xml:space="preserve"> data. (r, w) access rights will be the intersection of the two. Bioinfo job holders have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 xml:space="preserve">the access right to (r, w) to </w:t>
      </w:r>
      <w:r w:rsidRPr="00933BF6">
        <w:rPr>
          <w:rFonts w:ascii="Times New Roman" w:hAnsi="Times New Roman" w:cs="Times New Roman"/>
          <w:sz w:val="20"/>
          <w:szCs w:val="20"/>
        </w:rPr>
        <w:t>Non-Clinical</w:t>
      </w:r>
      <w:r w:rsidRPr="00933BF6">
        <w:rPr>
          <w:rFonts w:ascii="Times New Roman" w:hAnsi="Times New Roman" w:cs="Times New Roman"/>
          <w:sz w:val="20"/>
          <w:szCs w:val="20"/>
        </w:rPr>
        <w:t xml:space="preserve"> Data. Bioinfoclin’s integrity level is (R, {INCI}),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and the same is true for Clinical Data. Once more, Bioinfoclin has the access rights of (r,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w) to Clinical Data. Access Rights of (r, w) will be the intersection of the two. Subjects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with the Bioinfoclin role have access to and the ability to edit Clinical Data. The procedure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3BF6">
        <w:rPr>
          <w:rFonts w:ascii="Times New Roman" w:hAnsi="Times New Roman" w:cs="Times New Roman"/>
          <w:sz w:val="20"/>
          <w:szCs w:val="20"/>
        </w:rPr>
        <w:t>is the same for a Clinical subject in terms of (r, w) access rights to Clinical Data.</w:t>
      </w:r>
    </w:p>
    <w:p w14:paraId="696083CB" w14:textId="77777777" w:rsidR="00933BF6" w:rsidRDefault="00933BF6" w:rsidP="00933B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FB85D78" w14:textId="77777777" w:rsidR="0095349C" w:rsidRDefault="0091018D" w:rsidP="0045628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018D">
        <w:rPr>
          <w:rFonts w:ascii="Times New Roman" w:hAnsi="Times New Roman" w:cs="Times New Roman"/>
          <w:b/>
          <w:bCs/>
          <w:sz w:val="20"/>
          <w:szCs w:val="20"/>
        </w:rPr>
        <w:t>6.2 Root - Raw Data</w:t>
      </w:r>
    </w:p>
    <w:p w14:paraId="589C0BA4" w14:textId="30E4B5D1" w:rsidR="00DF785C" w:rsidRDefault="00DF785C" w:rsidP="00DF78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F785C">
        <w:rPr>
          <w:rFonts w:ascii="Times New Roman" w:hAnsi="Times New Roman" w:cs="Times New Roman"/>
          <w:sz w:val="20"/>
          <w:szCs w:val="20"/>
        </w:rPr>
        <w:t>Raw Data’s security level is (I, {RI}), as is Root’s security level. Because all levels are equal,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the subject is able to read and write to raw data. So, (r, w) are the access privileges.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security level of Raw data is also (I, {IRI}), as is the integrity level of Root. Again, both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read and write operations are possible since the two integrity levels are the identical.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access permissions will thus be (r, w) and (r, w) will also apply to the intersection of the two.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This conforms to the principles of HC. Similarly, Root subject has access to and control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 xml:space="preserve">HLA, </w:t>
      </w:r>
      <w:r w:rsidRPr="00DF785C">
        <w:rPr>
          <w:rFonts w:ascii="Times New Roman" w:hAnsi="Times New Roman" w:cs="Times New Roman"/>
          <w:sz w:val="20"/>
          <w:szCs w:val="20"/>
        </w:rPr>
        <w:t>Non-Clinical</w:t>
      </w:r>
      <w:r w:rsidRPr="00DF785C">
        <w:rPr>
          <w:rFonts w:ascii="Times New Roman" w:hAnsi="Times New Roman" w:cs="Times New Roman"/>
          <w:sz w:val="20"/>
          <w:szCs w:val="20"/>
        </w:rPr>
        <w:t>, Clinical, and Research Data. However, in order to access or alter all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these items, subject level must be changed</w:t>
      </w:r>
    </w:p>
    <w:p w14:paraId="6177B019" w14:textId="3BB63856" w:rsidR="0095349C" w:rsidRDefault="0091018D" w:rsidP="00DF785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018D">
        <w:rPr>
          <w:rFonts w:ascii="Times New Roman" w:hAnsi="Times New Roman" w:cs="Times New Roman"/>
          <w:sz w:val="20"/>
          <w:szCs w:val="20"/>
        </w:rPr>
        <w:br/>
      </w:r>
      <w:r w:rsidRPr="0091018D">
        <w:rPr>
          <w:rFonts w:ascii="Times New Roman" w:hAnsi="Times New Roman" w:cs="Times New Roman"/>
          <w:b/>
          <w:bCs/>
          <w:sz w:val="20"/>
          <w:szCs w:val="20"/>
        </w:rPr>
        <w:t>6.3 HLA - Research Data</w:t>
      </w:r>
    </w:p>
    <w:p w14:paraId="61F97C89" w14:textId="0309699F" w:rsidR="00DF785C" w:rsidRDefault="00DF785C" w:rsidP="00DF78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F785C">
        <w:rPr>
          <w:rFonts w:ascii="Times New Roman" w:hAnsi="Times New Roman" w:cs="Times New Roman"/>
          <w:sz w:val="20"/>
          <w:szCs w:val="20"/>
        </w:rPr>
        <w:t>The security level for the HLA subject in this instance is (C, {</w:t>
      </w:r>
      <w:proofErr w:type="gramStart"/>
      <w:r w:rsidRPr="00DF785C">
        <w:rPr>
          <w:rFonts w:ascii="Times New Roman" w:hAnsi="Times New Roman" w:cs="Times New Roman"/>
          <w:sz w:val="20"/>
          <w:szCs w:val="20"/>
        </w:rPr>
        <w:t>HI,REI</w:t>
      </w:r>
      <w:proofErr w:type="gramEnd"/>
      <w:r w:rsidRPr="00DF785C">
        <w:rPr>
          <w:rFonts w:ascii="Times New Roman" w:hAnsi="Times New Roman" w:cs="Times New Roman"/>
          <w:sz w:val="20"/>
          <w:szCs w:val="20"/>
        </w:rPr>
        <w:t>}), while the security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level for the research data is (C, {REI}). The subject here overpowers the object. HLA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can therefore read research data. The subject’s integrity level is (C, {</w:t>
      </w:r>
      <w:proofErr w:type="gramStart"/>
      <w:r w:rsidRPr="00DF785C">
        <w:rPr>
          <w:rFonts w:ascii="Times New Roman" w:hAnsi="Times New Roman" w:cs="Times New Roman"/>
          <w:sz w:val="20"/>
          <w:szCs w:val="20"/>
        </w:rPr>
        <w:t>IREI,IHI</w:t>
      </w:r>
      <w:proofErr w:type="gramEnd"/>
      <w:r w:rsidRPr="00DF785C">
        <w:rPr>
          <w:rFonts w:ascii="Times New Roman" w:hAnsi="Times New Roman" w:cs="Times New Roman"/>
          <w:sz w:val="20"/>
          <w:szCs w:val="20"/>
        </w:rPr>
        <w:t>}), and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integrity level of the study data is (C, {IREI,IHI}) as well. To gather information,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subject can (r, w). Only (r) will be at the intersection of (r, w) and (r). HLA individuals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may thus read research data.</w:t>
      </w:r>
    </w:p>
    <w:p w14:paraId="39DC6771" w14:textId="346A02C8" w:rsidR="0095349C" w:rsidRDefault="0091018D" w:rsidP="00DF785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018D">
        <w:rPr>
          <w:rFonts w:ascii="Times New Roman" w:hAnsi="Times New Roman" w:cs="Times New Roman"/>
          <w:sz w:val="20"/>
          <w:szCs w:val="20"/>
        </w:rPr>
        <w:br/>
      </w:r>
      <w:r w:rsidRPr="0091018D">
        <w:rPr>
          <w:rFonts w:ascii="Times New Roman" w:hAnsi="Times New Roman" w:cs="Times New Roman"/>
          <w:b/>
          <w:bCs/>
          <w:sz w:val="20"/>
          <w:szCs w:val="20"/>
        </w:rPr>
        <w:t>6.4 HLA - HLA Data</w:t>
      </w:r>
    </w:p>
    <w:p w14:paraId="328C5AE1" w14:textId="77777777" w:rsidR="00DF785C" w:rsidRDefault="00DF785C" w:rsidP="00DF78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F785C">
        <w:rPr>
          <w:rFonts w:ascii="Times New Roman" w:hAnsi="Times New Roman" w:cs="Times New Roman"/>
          <w:sz w:val="20"/>
          <w:szCs w:val="20"/>
        </w:rPr>
        <w:t>The security level for HLA subjects is (C, {</w:t>
      </w:r>
      <w:proofErr w:type="gramStart"/>
      <w:r w:rsidRPr="00DF785C">
        <w:rPr>
          <w:rFonts w:ascii="Times New Roman" w:hAnsi="Times New Roman" w:cs="Times New Roman"/>
          <w:sz w:val="20"/>
          <w:szCs w:val="20"/>
        </w:rPr>
        <w:t>HI,REI</w:t>
      </w:r>
      <w:proofErr w:type="gramEnd"/>
      <w:r w:rsidRPr="00DF785C">
        <w:rPr>
          <w:rFonts w:ascii="Times New Roman" w:hAnsi="Times New Roman" w:cs="Times New Roman"/>
          <w:sz w:val="20"/>
          <w:szCs w:val="20"/>
        </w:rPr>
        <w:t>}), while the security level for HLA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is (C, {HI,REI}). As a result, the individual is able to read and write HLA data.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integrity level for the subject is (C, {</w:t>
      </w:r>
      <w:proofErr w:type="gramStart"/>
      <w:r w:rsidRPr="00DF785C">
        <w:rPr>
          <w:rFonts w:ascii="Times New Roman" w:hAnsi="Times New Roman" w:cs="Times New Roman"/>
          <w:sz w:val="20"/>
          <w:szCs w:val="20"/>
        </w:rPr>
        <w:t>IREI,IHI</w:t>
      </w:r>
      <w:proofErr w:type="gramEnd"/>
      <w:r w:rsidRPr="00DF785C">
        <w:rPr>
          <w:rFonts w:ascii="Times New Roman" w:hAnsi="Times New Roman" w:cs="Times New Roman"/>
          <w:sz w:val="20"/>
          <w:szCs w:val="20"/>
        </w:rPr>
        <w:t>}), while the integrity level for the HLA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is (C, {IREI,IHI}). The subject can (r, w) HLA data effectively. (r, w) also describes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intersection of the two. Therefore, HLA subjects are able to read and write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HLA data.</w:t>
      </w:r>
    </w:p>
    <w:p w14:paraId="6525F6F0" w14:textId="0A607C47" w:rsidR="0095349C" w:rsidRDefault="0091018D" w:rsidP="00DF785C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018D">
        <w:rPr>
          <w:rFonts w:ascii="Times New Roman" w:hAnsi="Times New Roman" w:cs="Times New Roman"/>
          <w:sz w:val="20"/>
          <w:szCs w:val="20"/>
        </w:rPr>
        <w:lastRenderedPageBreak/>
        <w:br/>
      </w:r>
      <w:r w:rsidRPr="0091018D">
        <w:rPr>
          <w:rFonts w:ascii="Times New Roman" w:hAnsi="Times New Roman" w:cs="Times New Roman"/>
          <w:b/>
          <w:bCs/>
          <w:sz w:val="20"/>
          <w:szCs w:val="20"/>
        </w:rPr>
        <w:t>6.5 Research - HLA Data</w:t>
      </w:r>
    </w:p>
    <w:p w14:paraId="7FF2D754" w14:textId="726F9815" w:rsidR="0091018D" w:rsidRDefault="00DF785C" w:rsidP="00DF78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F785C">
        <w:rPr>
          <w:rFonts w:ascii="Times New Roman" w:hAnsi="Times New Roman" w:cs="Times New Roman"/>
          <w:sz w:val="20"/>
          <w:szCs w:val="20"/>
        </w:rPr>
        <w:t>In this instance, the security level for the Research subject is (C, {REI, HI, RI}) while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security level for the HLA data is (C, {</w:t>
      </w:r>
      <w:proofErr w:type="gramStart"/>
      <w:r w:rsidRPr="00DF785C">
        <w:rPr>
          <w:rFonts w:ascii="Times New Roman" w:hAnsi="Times New Roman" w:cs="Times New Roman"/>
          <w:sz w:val="20"/>
          <w:szCs w:val="20"/>
        </w:rPr>
        <w:t>IHI,IRE</w:t>
      </w:r>
      <w:proofErr w:type="gramEnd"/>
      <w:r w:rsidRPr="00DF785C">
        <w:rPr>
          <w:rFonts w:ascii="Times New Roman" w:hAnsi="Times New Roman" w:cs="Times New Roman"/>
          <w:sz w:val="20"/>
          <w:szCs w:val="20"/>
        </w:rPr>
        <w:t>}). As a result, the topic here overpowers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object. Therefore, the subject is limited to reading items. The subject’s integrity level is (C,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{IREI}), and the integrity level of the HLA Data is (C, {IREI}) as well. In this instance,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the subject may both read from and write to the object. There will be a (r) only access sign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at the intersection of (r, w). Therefore, eventually study participants can only read data</w:t>
      </w:r>
    </w:p>
    <w:p w14:paraId="43C57FC8" w14:textId="77777777" w:rsidR="0095349C" w:rsidRDefault="0091018D" w:rsidP="0095349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1018D">
        <w:rPr>
          <w:rFonts w:ascii="Times New Roman" w:hAnsi="Times New Roman" w:cs="Times New Roman"/>
          <w:sz w:val="20"/>
          <w:szCs w:val="20"/>
        </w:rPr>
        <w:br/>
      </w:r>
      <w:r w:rsidRPr="0091018D">
        <w:rPr>
          <w:rFonts w:ascii="Times New Roman" w:hAnsi="Times New Roman" w:cs="Times New Roman"/>
          <w:b/>
          <w:bCs/>
          <w:sz w:val="20"/>
          <w:szCs w:val="20"/>
        </w:rPr>
        <w:t xml:space="preserve">6.6 </w:t>
      </w:r>
      <w:r w:rsidRPr="0091018D">
        <w:rPr>
          <w:rFonts w:ascii="Times New Roman" w:hAnsi="Times New Roman" w:cs="Times New Roman"/>
          <w:b/>
          <w:bCs/>
          <w:sz w:val="20"/>
          <w:szCs w:val="20"/>
        </w:rPr>
        <w:t>SMB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91018D">
        <w:rPr>
          <w:rFonts w:ascii="Times New Roman" w:hAnsi="Times New Roman" w:cs="Times New Roman"/>
          <w:b/>
          <w:bCs/>
          <w:sz w:val="20"/>
          <w:szCs w:val="20"/>
        </w:rPr>
        <w:t>roup</w:t>
      </w:r>
      <w:r w:rsidRPr="0091018D">
        <w:rPr>
          <w:rFonts w:ascii="Times New Roman" w:hAnsi="Times New Roman" w:cs="Times New Roman"/>
          <w:b/>
          <w:bCs/>
          <w:sz w:val="20"/>
          <w:szCs w:val="20"/>
        </w:rPr>
        <w:t xml:space="preserve"> - Raw Data</w:t>
      </w:r>
    </w:p>
    <w:p w14:paraId="31509A2C" w14:textId="2743E5B4" w:rsidR="0035140F" w:rsidRDefault="00DF785C" w:rsidP="00DF78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F785C">
        <w:rPr>
          <w:rFonts w:ascii="Times New Roman" w:hAnsi="Times New Roman" w:cs="Times New Roman"/>
          <w:sz w:val="20"/>
          <w:szCs w:val="20"/>
        </w:rPr>
        <w:t>Security roles for SMBgroup and Raw data are (I, {RI}) and (I, {RI}), respectively. As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result, the subject is able to read and write data from Raw. In terms of integrity level, Raw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Data’s security function is Internal (RI) and the subject’s integrity level is (I, {IRI). SMBGroup can therefore read and write Raw data. both intersect, which is (r, w). SMBgroup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F785C">
        <w:rPr>
          <w:rFonts w:ascii="Times New Roman" w:hAnsi="Times New Roman" w:cs="Times New Roman"/>
          <w:sz w:val="20"/>
          <w:szCs w:val="20"/>
        </w:rPr>
        <w:t>therefore able to read from and write to Raw data.</w:t>
      </w:r>
    </w:p>
    <w:p w14:paraId="562037ED" w14:textId="77777777" w:rsidR="00DF785C" w:rsidRDefault="00DF785C" w:rsidP="00DF785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A4E36D5" w14:textId="77777777" w:rsidR="0091018D" w:rsidRPr="0091018D" w:rsidRDefault="0091018D" w:rsidP="00456282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1018D">
        <w:rPr>
          <w:rFonts w:ascii="Times New Roman" w:hAnsi="Times New Roman" w:cs="Times New Roman"/>
          <w:b/>
          <w:bCs/>
          <w:sz w:val="20"/>
          <w:szCs w:val="20"/>
        </w:rPr>
        <w:t>6.7 Research - Research Data</w:t>
      </w:r>
    </w:p>
    <w:p w14:paraId="44B2F633" w14:textId="6457A8BE" w:rsidR="0091018D" w:rsidRDefault="0091018D" w:rsidP="0045628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1018D">
        <w:rPr>
          <w:rFonts w:ascii="Times New Roman" w:hAnsi="Times New Roman" w:cs="Times New Roman"/>
          <w:sz w:val="20"/>
          <w:szCs w:val="20"/>
        </w:rPr>
        <w:t>Research is (C, {REI}) secure, and research data is (C, {REI}) secure. As a result, study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018D">
        <w:rPr>
          <w:rFonts w:ascii="Times New Roman" w:hAnsi="Times New Roman" w:cs="Times New Roman"/>
          <w:sz w:val="20"/>
          <w:szCs w:val="20"/>
        </w:rPr>
        <w:t>participants can access research data. The study subject’s integrity level is (C, {IREI}),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018D">
        <w:rPr>
          <w:rFonts w:ascii="Times New Roman" w:hAnsi="Times New Roman" w:cs="Times New Roman"/>
          <w:sz w:val="20"/>
          <w:szCs w:val="20"/>
        </w:rPr>
        <w:t>while the integrity level of the research’s data is (C, {IREI}). Therefore, study participants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018D">
        <w:rPr>
          <w:rFonts w:ascii="Times New Roman" w:hAnsi="Times New Roman" w:cs="Times New Roman"/>
          <w:sz w:val="20"/>
          <w:szCs w:val="20"/>
        </w:rPr>
        <w:t>can (r, w) gather data. Both will intersect at (r, w), allowing subjects to (r, w) research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018D">
        <w:rPr>
          <w:rFonts w:ascii="Times New Roman" w:hAnsi="Times New Roman" w:cs="Times New Roman"/>
          <w:sz w:val="20"/>
          <w:szCs w:val="20"/>
        </w:rPr>
        <w:t>data.</w:t>
      </w:r>
    </w:p>
    <w:p w14:paraId="11F17CCF" w14:textId="784DC75F" w:rsidR="0091018D" w:rsidRDefault="0091018D" w:rsidP="0091018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64B8E" w14:textId="5FBE9243" w:rsidR="00456282" w:rsidRDefault="00456282" w:rsidP="0045628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56282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DF785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 xml:space="preserve"> Access Control Matrix</w:t>
      </w:r>
    </w:p>
    <w:p w14:paraId="3E29F82A" w14:textId="14C3B50B" w:rsid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>The conventional notation of Read and Write - (r, w) access rights is used in the Table 3.</w:t>
      </w:r>
    </w:p>
    <w:p w14:paraId="330517A0" w14:textId="77777777" w:rsidR="00456282" w:rsidRP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57"/>
        <w:gridCol w:w="1743"/>
        <w:gridCol w:w="1405"/>
        <w:gridCol w:w="1743"/>
        <w:gridCol w:w="1099"/>
        <w:gridCol w:w="1563"/>
      </w:tblGrid>
      <w:tr w:rsidR="00456282" w:rsidRPr="00456282" w14:paraId="0A71DC5B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2433D" w14:textId="11CD661F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>Objects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A6F27" w14:textId="0FD37D72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Clinical Data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6E58A" w14:textId="3F802B26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HLA Data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0A5B7" w14:textId="186B6904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3B5F" w14:textId="3EABD2BB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Raw Data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C4F7A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456282" w:rsidRPr="00456282" w14:paraId="216F4064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F4B27" w14:textId="60C022CD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2E492" w14:textId="46040EA1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780DE" w14:textId="24B20F81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79799" w14:textId="5E09999C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F7EFC" w14:textId="3156D608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73814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</w:tr>
      <w:tr w:rsidR="00456282" w:rsidRPr="00456282" w14:paraId="193455F0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1019" w14:textId="6B5DBB02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Bioinfo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46BC5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39C7327E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8E204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38FEA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4E364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282" w:rsidRPr="00456282" w14:paraId="55B4CEEF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18D2A" w14:textId="05DC2E39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Bioinfoclin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147D9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50CDFD2A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609FB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98DDF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45384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282" w:rsidRPr="00456282" w14:paraId="1F40AEC1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39AD1" w14:textId="6AE5E2CC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6FE4C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51567031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AE5AF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A5B45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C20BC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282" w:rsidRPr="00456282" w14:paraId="3836C9BE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CEFAB" w14:textId="103A9EC1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HLA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32686" w14:textId="33E9024B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9AD62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5AD661D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33463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D893D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282" w:rsidRPr="00456282" w14:paraId="401DF77C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65D09" w14:textId="0D09C939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E209" w14:textId="4B79383E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B3CDA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420A38E8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60196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7A126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282" w:rsidRPr="00456282" w14:paraId="581BD234" w14:textId="77777777" w:rsidTr="00456282"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313A" w14:textId="046F86A2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SMBGroup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96E76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763F9063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318E7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F4855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6CCCE" w14:textId="77777777" w:rsidR="00456282" w:rsidRPr="00456282" w:rsidRDefault="00456282" w:rsidP="0045628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3F85EA" w14:textId="77777777" w:rsidR="00456282" w:rsidRDefault="00456282" w:rsidP="0045628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>Table 3: Access Control Matrix for the defined subjects across the objects</w:t>
      </w:r>
      <w:r w:rsidRPr="00456282">
        <w:rPr>
          <w:rFonts w:ascii="Times New Roman" w:hAnsi="Times New Roman" w:cs="Times New Roman"/>
          <w:sz w:val="20"/>
          <w:szCs w:val="20"/>
        </w:rPr>
        <w:br/>
      </w:r>
    </w:p>
    <w:p w14:paraId="5AE66DDD" w14:textId="1BD23C6D" w:rsidR="0091018D" w:rsidRDefault="00456282" w:rsidP="0045628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>This Access matrix is consistent with the access control policies listed in the Data Policies,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282">
        <w:rPr>
          <w:rFonts w:ascii="Times New Roman" w:hAnsi="Times New Roman" w:cs="Times New Roman"/>
          <w:sz w:val="20"/>
          <w:szCs w:val="20"/>
        </w:rPr>
        <w:t xml:space="preserve">which state that the Bioinfo group can (r, w) </w:t>
      </w:r>
      <w:r w:rsidRPr="00456282">
        <w:rPr>
          <w:rFonts w:ascii="Times New Roman" w:hAnsi="Times New Roman" w:cs="Times New Roman"/>
          <w:sz w:val="20"/>
          <w:szCs w:val="20"/>
        </w:rPr>
        <w:t>Non-Clinical</w:t>
      </w:r>
      <w:r w:rsidRPr="00456282">
        <w:rPr>
          <w:rFonts w:ascii="Times New Roman" w:hAnsi="Times New Roman" w:cs="Times New Roman"/>
          <w:sz w:val="20"/>
          <w:szCs w:val="20"/>
        </w:rPr>
        <w:t xml:space="preserve"> Data, the Bioinfoclin group can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282">
        <w:rPr>
          <w:rFonts w:ascii="Times New Roman" w:hAnsi="Times New Roman" w:cs="Times New Roman"/>
          <w:sz w:val="20"/>
          <w:szCs w:val="20"/>
        </w:rPr>
        <w:t>(r, w) Clinical Data, the Clinical group can (r, w) Clinical data, the Research group can (r,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282">
        <w:rPr>
          <w:rFonts w:ascii="Times New Roman" w:hAnsi="Times New Roman" w:cs="Times New Roman"/>
          <w:sz w:val="20"/>
          <w:szCs w:val="20"/>
        </w:rPr>
        <w:t>w) Research Data, the Research group can (r, w) HLA Data, the SMBGroup can (r, w) Raw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282">
        <w:rPr>
          <w:rFonts w:ascii="Times New Roman" w:hAnsi="Times New Roman" w:cs="Times New Roman"/>
          <w:sz w:val="20"/>
          <w:szCs w:val="20"/>
        </w:rPr>
        <w:t>Data.</w:t>
      </w:r>
    </w:p>
    <w:p w14:paraId="43C8C631" w14:textId="6B64F1B2" w:rsid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59A9FC" w14:textId="63DAE636" w:rsidR="00DF785C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DF785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 xml:space="preserve"> Capability Lists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 xml:space="preserve">The capability lists for the </w:t>
      </w:r>
      <w:r w:rsidRPr="00456282">
        <w:rPr>
          <w:rFonts w:ascii="Times New Roman" w:hAnsi="Times New Roman" w:cs="Times New Roman"/>
          <w:sz w:val="20"/>
          <w:szCs w:val="20"/>
        </w:rPr>
        <w:t>above-mentioned</w:t>
      </w:r>
      <w:r w:rsidRPr="00456282">
        <w:rPr>
          <w:rFonts w:ascii="Times New Roman" w:hAnsi="Times New Roman" w:cs="Times New Roman"/>
          <w:sz w:val="20"/>
          <w:szCs w:val="20"/>
        </w:rPr>
        <w:t xml:space="preserve"> subjects are as follows:</w:t>
      </w:r>
    </w:p>
    <w:p w14:paraId="60EA2D03" w14:textId="72CFEA3A" w:rsid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br/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>8.1 Root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>The capability lists for the subject Root is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2"/>
        <w:gridCol w:w="1871"/>
        <w:gridCol w:w="1202"/>
        <w:gridCol w:w="1871"/>
        <w:gridCol w:w="1154"/>
        <w:gridCol w:w="1640"/>
      </w:tblGrid>
      <w:tr w:rsidR="00456282" w:rsidRPr="00456282" w14:paraId="1C909902" w14:textId="77777777" w:rsidTr="00F7011E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C03DD" w14:textId="77777777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Objects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CFA97" w14:textId="77777777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Data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673BC" w14:textId="77777777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Data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2B6F4" w14:textId="7C69DC75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1AFAB" w14:textId="77777777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Raw Data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D04DE" w14:textId="77777777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456282" w:rsidRPr="00456282" w14:paraId="14D488F9" w14:textId="77777777" w:rsidTr="00F7011E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AABD4" w14:textId="6E2C450C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ED682" w14:textId="77777777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0F6801AF" w14:textId="6C798D03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241562DA" w14:textId="0795E204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637E1B96" w14:textId="1C0C7218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77F533E3" w14:textId="2481D6DD" w:rsidR="00456282" w:rsidRPr="00456282" w:rsidRDefault="00456282" w:rsidP="00F701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</w:tr>
    </w:tbl>
    <w:p w14:paraId="3FD7B69F" w14:textId="157EBD82" w:rsidR="00456282" w:rsidRDefault="00456282" w:rsidP="00DF78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 xml:space="preserve">Table 4: Capability List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456282">
        <w:rPr>
          <w:rFonts w:ascii="Times New Roman" w:hAnsi="Times New Roman" w:cs="Times New Roman"/>
          <w:sz w:val="20"/>
          <w:szCs w:val="20"/>
        </w:rPr>
        <w:t xml:space="preserve"> Root</w:t>
      </w:r>
    </w:p>
    <w:p w14:paraId="613FB88D" w14:textId="41644C81" w:rsidR="00456282" w:rsidRP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br/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>8.2 Bioinfo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>The capability lists for the subject Bioinfo is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2"/>
        <w:gridCol w:w="1871"/>
        <w:gridCol w:w="1202"/>
        <w:gridCol w:w="1871"/>
        <w:gridCol w:w="1154"/>
        <w:gridCol w:w="1640"/>
      </w:tblGrid>
      <w:tr w:rsidR="00456282" w:rsidRPr="00456282" w14:paraId="223DEA54" w14:textId="77777777" w:rsidTr="00456282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7EEDC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Objects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34E81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Data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789E0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Data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11623" w14:textId="383BA83A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B2CA8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Raw Data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1C91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456282" w:rsidRPr="00456282" w14:paraId="34A95F7B" w14:textId="77777777" w:rsidTr="00456282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35189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Bioinfo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BD760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3B325937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55692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6CC60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B2E3A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2DC0C3" w14:textId="2262EA6E" w:rsidR="00456282" w:rsidRDefault="00456282" w:rsidP="00DF78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 xml:space="preserve">Table 5: Capability List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456282">
        <w:rPr>
          <w:rFonts w:ascii="Times New Roman" w:hAnsi="Times New Roman" w:cs="Times New Roman"/>
          <w:sz w:val="20"/>
          <w:szCs w:val="20"/>
        </w:rPr>
        <w:t xml:space="preserve"> Bioinfo</w:t>
      </w:r>
    </w:p>
    <w:p w14:paraId="6B1C8DCF" w14:textId="4628FA5C" w:rsidR="00456282" w:rsidRP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lastRenderedPageBreak/>
        <w:br/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>8.3 Bioinfoclin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>The capability lists for the subject Bioinfoclin is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59"/>
        <w:gridCol w:w="1537"/>
        <w:gridCol w:w="1232"/>
        <w:gridCol w:w="1924"/>
        <w:gridCol w:w="1183"/>
        <w:gridCol w:w="1675"/>
      </w:tblGrid>
      <w:tr w:rsidR="00456282" w:rsidRPr="00456282" w14:paraId="42601966" w14:textId="77777777" w:rsidTr="00456282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72C13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Objects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2C4C5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Data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39AAD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Data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1A1E9" w14:textId="2FBC768A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D30ED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Raw Data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AC04D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456282" w:rsidRPr="00456282" w14:paraId="7A9F17E4" w14:textId="77777777" w:rsidTr="00456282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B2635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Bioinfoclin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5BC62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3808E2A1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B0AF6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05C5B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3D27E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AD1D2B" w14:textId="166F1AD8" w:rsidR="00456282" w:rsidRDefault="00456282" w:rsidP="00DF78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 xml:space="preserve">Table 6: Capability List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456282">
        <w:rPr>
          <w:rFonts w:ascii="Times New Roman" w:hAnsi="Times New Roman" w:cs="Times New Roman"/>
          <w:sz w:val="20"/>
          <w:szCs w:val="20"/>
        </w:rPr>
        <w:t xml:space="preserve"> Bioinfoclin</w:t>
      </w:r>
    </w:p>
    <w:p w14:paraId="341F111D" w14:textId="77777777" w:rsid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br/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>8.4 Clinical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>The capability lists for the subject Clinical is as follows:</w:t>
      </w:r>
    </w:p>
    <w:tbl>
      <w:tblPr>
        <w:tblpPr w:leftFromText="180" w:rightFromText="180" w:vertAnchor="text" w:horzAnchor="margin" w:tblpY="5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4"/>
        <w:gridCol w:w="1566"/>
        <w:gridCol w:w="1258"/>
        <w:gridCol w:w="1969"/>
        <w:gridCol w:w="1207"/>
        <w:gridCol w:w="1706"/>
      </w:tblGrid>
      <w:tr w:rsidR="00456282" w:rsidRPr="00456282" w14:paraId="0DEE666E" w14:textId="77777777" w:rsidTr="00456282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7766D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Objects 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71994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Data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CFE68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Data 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8CC19" w14:textId="17D45AE4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ABFB6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Raw Data 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980C9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456282" w:rsidRPr="00456282" w14:paraId="1EBBD05F" w14:textId="77777777" w:rsidTr="00456282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C4169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61C81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2C406605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68989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71DB1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AEFBC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1BBDA8" w14:textId="77777777" w:rsidR="005F1C84" w:rsidRDefault="005F1C84" w:rsidP="00DF78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 xml:space="preserve">Table 7: Capability List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456282">
        <w:rPr>
          <w:rFonts w:ascii="Times New Roman" w:hAnsi="Times New Roman" w:cs="Times New Roman"/>
          <w:sz w:val="20"/>
          <w:szCs w:val="20"/>
        </w:rPr>
        <w:t xml:space="preserve"> Clinical</w:t>
      </w:r>
    </w:p>
    <w:p w14:paraId="0744E83C" w14:textId="77777777" w:rsid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br/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>8.5 HLA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>The capability lists for the subject HLA is as follows:</w:t>
      </w:r>
    </w:p>
    <w:tbl>
      <w:tblPr>
        <w:tblpPr w:leftFromText="180" w:rightFromText="180" w:vertAnchor="text" w:horzAnchor="margin" w:tblpY="5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8"/>
        <w:gridCol w:w="1514"/>
        <w:gridCol w:w="1516"/>
        <w:gridCol w:w="1888"/>
        <w:gridCol w:w="1163"/>
        <w:gridCol w:w="1651"/>
      </w:tblGrid>
      <w:tr w:rsidR="00456282" w:rsidRPr="00456282" w14:paraId="46735326" w14:textId="77777777" w:rsidTr="00456282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EFB70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Objects 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0A8B1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Data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47732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Data 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DC4C2" w14:textId="0BCBD55E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2093D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Raw Data 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3CEE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456282" w:rsidRPr="00456282" w14:paraId="570131CD" w14:textId="77777777" w:rsidTr="00456282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9A6BB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E2A2E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r, w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4DCD0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DC7D095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9C6BD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9F5A3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BEBB58" w14:textId="77777777" w:rsidR="005F1C84" w:rsidRDefault="005F1C84" w:rsidP="00DF78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 xml:space="preserve">Table 8: Capability List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456282">
        <w:rPr>
          <w:rFonts w:ascii="Times New Roman" w:hAnsi="Times New Roman" w:cs="Times New Roman"/>
          <w:sz w:val="20"/>
          <w:szCs w:val="20"/>
        </w:rPr>
        <w:t xml:space="preserve"> HLA</w:t>
      </w:r>
    </w:p>
    <w:p w14:paraId="635652C0" w14:textId="4126052C" w:rsid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br/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>8.6 Research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>The capability lists for the subject Research is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8"/>
        <w:gridCol w:w="1514"/>
        <w:gridCol w:w="1516"/>
        <w:gridCol w:w="1888"/>
        <w:gridCol w:w="1163"/>
        <w:gridCol w:w="1651"/>
      </w:tblGrid>
      <w:tr w:rsidR="00456282" w:rsidRPr="00456282" w14:paraId="6DC1DB9B" w14:textId="77777777" w:rsidTr="00456282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2544E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Objects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8F898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Data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5CB44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Data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3C6B1" w14:textId="0D9F1229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Non-Clinical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A7015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Raw Data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AB22A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456282" w:rsidRPr="00456282" w14:paraId="76DEF285" w14:textId="77777777" w:rsidTr="00456282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2CE28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Research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BB052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800D2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3EB4599F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F00BB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BC2DA" w14:textId="77777777" w:rsidR="00456282" w:rsidRPr="00456282" w:rsidRDefault="00456282" w:rsidP="004562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0AC389" w14:textId="3D4B07DE" w:rsidR="00456282" w:rsidRDefault="00456282" w:rsidP="00DF78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t xml:space="preserve">Table 9: Capability List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456282">
        <w:rPr>
          <w:rFonts w:ascii="Times New Roman" w:hAnsi="Times New Roman" w:cs="Times New Roman"/>
          <w:sz w:val="20"/>
          <w:szCs w:val="20"/>
        </w:rPr>
        <w:t xml:space="preserve"> Research</w:t>
      </w:r>
    </w:p>
    <w:p w14:paraId="511B6401" w14:textId="5F656919" w:rsidR="00DF785C" w:rsidRP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6282">
        <w:rPr>
          <w:rFonts w:ascii="Times New Roman" w:hAnsi="Times New Roman" w:cs="Times New Roman"/>
          <w:sz w:val="20"/>
          <w:szCs w:val="20"/>
        </w:rPr>
        <w:br/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t>8.7 SMBGroup</w:t>
      </w:r>
      <w:r w:rsidRPr="0045628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456282">
        <w:rPr>
          <w:rFonts w:ascii="Times New Roman" w:hAnsi="Times New Roman" w:cs="Times New Roman"/>
          <w:sz w:val="20"/>
          <w:szCs w:val="20"/>
        </w:rPr>
        <w:t>The capability lists for the subject SMBGroup is as follows:</w:t>
      </w:r>
    </w:p>
    <w:tbl>
      <w:tblPr>
        <w:tblpPr w:leftFromText="180" w:rightFromText="180" w:vertAnchor="text" w:horzAnchor="margin" w:tblpY="6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0"/>
        <w:gridCol w:w="1529"/>
        <w:gridCol w:w="1225"/>
        <w:gridCol w:w="1894"/>
        <w:gridCol w:w="1185"/>
        <w:gridCol w:w="1667"/>
      </w:tblGrid>
      <w:tr w:rsidR="00DF785C" w:rsidRPr="00456282" w14:paraId="5EE9BF92" w14:textId="77777777" w:rsidTr="00DF785C"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31DDD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Subjects/</w:t>
            </w:r>
            <w:r w:rsidRPr="00456282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Objects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D82C6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Clinical Data 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EB773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HLA Data 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0A898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Non-Clinical Data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0A5B0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Raw Data 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11BF1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Research Data</w:t>
            </w:r>
          </w:p>
        </w:tc>
      </w:tr>
      <w:tr w:rsidR="00DF785C" w:rsidRPr="00456282" w14:paraId="4EC3D79B" w14:textId="77777777" w:rsidTr="00DF785C"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727C5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 xml:space="preserve">SMBGroup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D8157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6282">
              <w:rPr>
                <w:rFonts w:ascii="Times New Roman" w:hAnsi="Times New Roman" w:cs="Times New Roman"/>
                <w:sz w:val="20"/>
                <w:szCs w:val="20"/>
              </w:rPr>
              <w:t>r, w</w:t>
            </w:r>
          </w:p>
        </w:tc>
        <w:tc>
          <w:tcPr>
            <w:tcW w:w="0" w:type="auto"/>
            <w:vAlign w:val="center"/>
            <w:hideMark/>
          </w:tcPr>
          <w:p w14:paraId="5C07B91A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4F3C3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84718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C59F4" w14:textId="77777777" w:rsidR="00DF785C" w:rsidRPr="00456282" w:rsidRDefault="00DF785C" w:rsidP="00DF785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39E43E" w14:textId="65670F35" w:rsidR="00DF785C" w:rsidRPr="00DF785C" w:rsidRDefault="00DF785C" w:rsidP="00DF785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F785C">
        <w:rPr>
          <w:rFonts w:ascii="Times New Roman" w:hAnsi="Times New Roman" w:cs="Times New Roman"/>
          <w:sz w:val="20"/>
          <w:szCs w:val="20"/>
        </w:rPr>
        <w:t>Table 10: Capability List - SMBGroup</w:t>
      </w:r>
    </w:p>
    <w:p w14:paraId="71F9741F" w14:textId="77777777" w:rsidR="00DF785C" w:rsidRDefault="00DF785C" w:rsidP="005F1C8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2AB148" w14:textId="09E8C6C5" w:rsidR="005F1C84" w:rsidRPr="005F1C84" w:rsidRDefault="005F1C84" w:rsidP="005F1C8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F1C84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F785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5F1C84">
        <w:rPr>
          <w:rFonts w:ascii="Times New Roman" w:hAnsi="Times New Roman" w:cs="Times New Roman"/>
          <w:b/>
          <w:bCs/>
          <w:sz w:val="20"/>
          <w:szCs w:val="20"/>
        </w:rPr>
        <w:t xml:space="preserve"> Potential Enhancements</w:t>
      </w:r>
    </w:p>
    <w:p w14:paraId="5DA22EB0" w14:textId="679AC4C0" w:rsidR="005F1C84" w:rsidRPr="005F1C84" w:rsidRDefault="005F1C84" w:rsidP="005F1C8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F1C84">
        <w:rPr>
          <w:rFonts w:ascii="Times New Roman" w:hAnsi="Times New Roman" w:cs="Times New Roman"/>
          <w:sz w:val="20"/>
          <w:szCs w:val="20"/>
        </w:rPr>
        <w:t>There are few security aspects (availability) and few risks that these rules cannot handle,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despite the fact that access control policies incorporate measures that address multiple elements of security (confidentiality and integrity) and diverse threats. The availability element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is influenced if confidentiality and integrity are implemented strictly.</w:t>
      </w:r>
    </w:p>
    <w:p w14:paraId="0B7606E6" w14:textId="3F8DA237" w:rsidR="005F1C84" w:rsidRPr="005F1C84" w:rsidRDefault="005F1C84" w:rsidP="005F1C8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F1C84">
        <w:rPr>
          <w:rFonts w:ascii="Times New Roman" w:hAnsi="Times New Roman" w:cs="Times New Roman"/>
          <w:sz w:val="20"/>
          <w:szCs w:val="20"/>
        </w:rPr>
        <w:t>When it comes to a few dangers, these policies are highly successful. One of the threats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that Trojan horses can efficiently manage. As the secrecy policy is being applied (via BLP)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in this case, the Trojan horse may be effectively dealt with. It is prohibited by the *-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property, making write down impossible. Therefore, Trojan horse cannot damage data whose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sensitivity is lower than that of the infected data (subject, etc.).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 xml:space="preserve">Therefore, in this instance, a Trojan horse cannot alter </w:t>
      </w:r>
      <w:r w:rsidR="00F16194" w:rsidRPr="005F1C84">
        <w:rPr>
          <w:rFonts w:ascii="Times New Roman" w:hAnsi="Times New Roman" w:cs="Times New Roman"/>
          <w:sz w:val="20"/>
          <w:szCs w:val="20"/>
        </w:rPr>
        <w:t>fewer</w:t>
      </w:r>
      <w:r w:rsidRPr="005F1C84">
        <w:rPr>
          <w:rFonts w:ascii="Times New Roman" w:hAnsi="Times New Roman" w:cs="Times New Roman"/>
          <w:sz w:val="20"/>
          <w:szCs w:val="20"/>
        </w:rPr>
        <w:t xml:space="preserve"> sensitive data, such as raw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 xml:space="preserve">or non-clinical data. Additionally, if we take Strict Raw Data, Clinic Data, </w:t>
      </w:r>
      <w:r w:rsidR="00F16194">
        <w:rPr>
          <w:rFonts w:ascii="Times New Roman" w:hAnsi="Times New Roman" w:cs="Times New Roman"/>
          <w:sz w:val="20"/>
          <w:szCs w:val="20"/>
        </w:rPr>
        <w:t>Non-C</w:t>
      </w:r>
      <w:r w:rsidRPr="005F1C84">
        <w:rPr>
          <w:rFonts w:ascii="Times New Roman" w:hAnsi="Times New Roman" w:cs="Times New Roman"/>
          <w:sz w:val="20"/>
          <w:szCs w:val="20"/>
        </w:rPr>
        <w:t>linical Data,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data from studies HL Data. No unlawful direct alteration of items is permitted according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 xml:space="preserve">to Bioinfoclin </w:t>
      </w:r>
      <w:r w:rsidR="00F16194" w:rsidRPr="005F1C84">
        <w:rPr>
          <w:rFonts w:ascii="Times New Roman" w:hAnsi="Times New Roman" w:cs="Times New Roman"/>
          <w:sz w:val="20"/>
          <w:szCs w:val="20"/>
        </w:rPr>
        <w:t>R, W</w:t>
      </w:r>
      <w:r w:rsidRPr="005F1C84">
        <w:rPr>
          <w:rFonts w:ascii="Times New Roman" w:hAnsi="Times New Roman" w:cs="Times New Roman"/>
          <w:sz w:val="20"/>
          <w:szCs w:val="20"/>
        </w:rPr>
        <w:t>. It restricts the amount of harm that a Trojan horse within the system</w:t>
      </w:r>
      <w:r w:rsidR="00BD077D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may cause.</w:t>
      </w:r>
    </w:p>
    <w:p w14:paraId="749A07BE" w14:textId="243C310D" w:rsidR="005F1C84" w:rsidRDefault="005F1C84" w:rsidP="005F1C8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F1C84">
        <w:rPr>
          <w:rFonts w:ascii="Times New Roman" w:hAnsi="Times New Roman" w:cs="Times New Roman"/>
          <w:sz w:val="20"/>
          <w:szCs w:val="20"/>
        </w:rPr>
        <w:t>Furthermore, to a certain extent, confidentiality and integrity policies can be used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combat the backdoor danger. This risk might let an unauthorized user access the system.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The implementation of safeguards by confidentiality and integrity policies will still to some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extent limit access and its dissemination. Unauthorized users might not be able to view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sensitive data, such as clinical or research data, under that scenario.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These policies can be used to counter threats relating to authorisation. The authorisation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 xml:space="preserve">function activates if the subject joins the system after </w:t>
      </w:r>
      <w:r w:rsidRPr="005F1C84">
        <w:rPr>
          <w:rFonts w:ascii="Times New Roman" w:hAnsi="Times New Roman" w:cs="Times New Roman"/>
          <w:sz w:val="20"/>
          <w:szCs w:val="20"/>
        </w:rPr>
        <w:lastRenderedPageBreak/>
        <w:t>being authenticated. Access objects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used to specify subject rights. Unauthorized actors cannot access private data due to access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policies (related to confidentiality). The integrity policy will similarly prevent unauthorized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parties from changing sensitive data. These regulations can be quite helpful in limiting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migration of malware that compromises the system and moves within (some malware moves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laterally, some top-down, and some bottom-up).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These access control mechanisms alone cannot protect against all dangers. There will also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be a need for technical solutions to deal with these complex attacks. These access control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measures are unable to stop ransomware that encrypts the data on the system. Patches must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be installed, and security updates must be made available, for this. Additional solutions,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such as EDR, HIDS, and HIPS, may be more important.</w:t>
      </w:r>
    </w:p>
    <w:p w14:paraId="603ECE45" w14:textId="77777777" w:rsidR="005F1C84" w:rsidRPr="005F1C84" w:rsidRDefault="005F1C84" w:rsidP="005F1C8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135AAAA" w14:textId="3C434EAC" w:rsidR="005F1C84" w:rsidRDefault="005F1C84" w:rsidP="005F1C8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F1C84">
        <w:rPr>
          <w:rFonts w:ascii="Times New Roman" w:hAnsi="Times New Roman" w:cs="Times New Roman"/>
          <w:sz w:val="20"/>
          <w:szCs w:val="20"/>
        </w:rPr>
        <w:t>These regulations can’t deal with threats brought on by a shoddy cryptography suite.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Similarly, these regulations are ineffective in addressing dangers related to a lack of encryption. Strong cryptographic solutions must be implemented in order to combat these types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of attacks and prevent unauthorized individuals from viewing or altering private data.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Attacks that use social engineering are those whose mitigation calls for technological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fixes and employee attentiveness. Access control regulations can be used to counteract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 xml:space="preserve">these threats. Threats posed </w:t>
      </w:r>
      <w:r w:rsidR="00F16194" w:rsidRPr="005F1C84">
        <w:rPr>
          <w:rFonts w:ascii="Times New Roman" w:hAnsi="Times New Roman" w:cs="Times New Roman"/>
          <w:sz w:val="20"/>
          <w:szCs w:val="20"/>
        </w:rPr>
        <w:t>by” Man</w:t>
      </w:r>
      <w:r w:rsidRPr="005F1C84">
        <w:rPr>
          <w:rFonts w:ascii="Times New Roman" w:hAnsi="Times New Roman" w:cs="Times New Roman"/>
          <w:sz w:val="20"/>
          <w:szCs w:val="20"/>
        </w:rPr>
        <w:t>-in-the-Middle” cannot be reduced with these policies.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Technical solutions are also needed to address this. To counter this threat, a secure, authenticated, and encrypted communication route is needed. One of the most recent incidents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took place at Uber Inc [12]. wherein the adversary pretended to be a business IT specialist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and persuaded an employee to divulge their login information.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These access control measures are unable to counter threats to physical security. To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deal with physical threats, appropriate protocols, solutions, and methods must be in place.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Information system hardening regulations must be strictly followed to protect against threats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related to poor setup. Following the adoption of hardening guidelines, it is necessary to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conduct appropriate testing and maintenance in order to keep track of the controls that are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implemented in accordance with hardening standards. Threats connected to the cloud must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be addressed since this system uses AWS to handle data in the cloud.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In principal, the client and AWS must come to an agreement outlining the necessary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security criteria. The right processes must be in place with various partners, including</w:t>
      </w:r>
      <w:r w:rsidR="00F16194">
        <w:rPr>
          <w:rFonts w:ascii="Times New Roman" w:hAnsi="Times New Roman" w:cs="Times New Roman"/>
          <w:sz w:val="20"/>
          <w:szCs w:val="20"/>
        </w:rPr>
        <w:t xml:space="preserve"> </w:t>
      </w:r>
      <w:r w:rsidRPr="005F1C84">
        <w:rPr>
          <w:rFonts w:ascii="Times New Roman" w:hAnsi="Times New Roman" w:cs="Times New Roman"/>
          <w:sz w:val="20"/>
          <w:szCs w:val="20"/>
        </w:rPr>
        <w:t>Cartagenia, to enforce correct responsibility. These procedures should include NDAs (Non</w:t>
      </w:r>
      <w:r w:rsidR="00F16194">
        <w:rPr>
          <w:rFonts w:ascii="Times New Roman" w:hAnsi="Times New Roman" w:cs="Times New Roman"/>
          <w:sz w:val="20"/>
          <w:szCs w:val="20"/>
        </w:rPr>
        <w:t>-</w:t>
      </w:r>
      <w:r w:rsidRPr="005F1C84">
        <w:rPr>
          <w:rFonts w:ascii="Times New Roman" w:hAnsi="Times New Roman" w:cs="Times New Roman"/>
          <w:sz w:val="20"/>
          <w:szCs w:val="20"/>
        </w:rPr>
        <w:t>Disclosure Agreements), rights to audit, security terms, business continuity clauses, etc.</w:t>
      </w:r>
    </w:p>
    <w:p w14:paraId="71883004" w14:textId="77777777" w:rsidR="005F1C84" w:rsidRPr="00456282" w:rsidRDefault="005F1C84" w:rsidP="0045628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59A1E6" w14:textId="209B1946" w:rsidR="00F16194" w:rsidRPr="00F16194" w:rsidRDefault="00F16194" w:rsidP="00F1619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16194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="00866F85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16194">
        <w:rPr>
          <w:rFonts w:ascii="Times New Roman" w:hAnsi="Times New Roman" w:cs="Times New Roman"/>
          <w:b/>
          <w:bCs/>
          <w:sz w:val="20"/>
          <w:szCs w:val="20"/>
        </w:rPr>
        <w:t xml:space="preserve"> Recommended Security Mitigation Aspects</w:t>
      </w:r>
    </w:p>
    <w:p w14:paraId="1CCA3745" w14:textId="77777777" w:rsidR="00F16194" w:rsidRPr="00F16194" w:rsidRDefault="00F16194" w:rsidP="00F1619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3A4CB66" w14:textId="3C1C17CF" w:rsidR="00F16194" w:rsidRPr="00F16194" w:rsidRDefault="00F16194" w:rsidP="00F1619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16194">
        <w:rPr>
          <w:rFonts w:ascii="Times New Roman" w:hAnsi="Times New Roman" w:cs="Times New Roman"/>
          <w:b/>
          <w:bCs/>
          <w:sz w:val="20"/>
          <w:szCs w:val="20"/>
        </w:rPr>
        <w:t>10.1 Mitigation against Physical Threats</w:t>
      </w:r>
    </w:p>
    <w:p w14:paraId="5119C482" w14:textId="26426398" w:rsidR="00F16194" w:rsidRDefault="00F16194" w:rsidP="00F1619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sz w:val="20"/>
          <w:szCs w:val="20"/>
        </w:rPr>
        <w:t>These protections will be of great help in dealing with physical threats. To secure thei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 w:rsidRPr="00F16194">
        <w:rPr>
          <w:rFonts w:ascii="Times New Roman" w:hAnsi="Times New Roman" w:cs="Times New Roman"/>
          <w:sz w:val="20"/>
          <w:szCs w:val="20"/>
        </w:rPr>
        <w:t>boundaries, The Center has put in place a few physical safeguards. It ought to be a component of organized procedures, in my opinion. To restrict physical access to its electronic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 xml:space="preserve">information systems and the building where they are located,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F16194">
        <w:rPr>
          <w:rFonts w:ascii="Times New Roman" w:hAnsi="Times New Roman" w:cs="Times New Roman"/>
          <w:sz w:val="20"/>
          <w:szCs w:val="20"/>
        </w:rPr>
        <w:t>hysical security rules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procedures should be tightly enforced. This will guarantee that only access that has been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lawfully approved is permitted. This procedure entails evaluating current physical security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weaknesses, identifying and putting into practice corrective actions, developing and carrying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out a facility security strategy, etc. The “clean desk and clear screen” guideline ought to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followed strictly. All workstations that access ePHI must have physical security measures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place by the Center to limit access to authorized users. These measures must include card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access, video surveillance, screen barriers, lock doors, security guards, and more. Device</w:t>
      </w:r>
      <w:r w:rsidR="00866F85"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and Media Controls are an additional area that requires specific attention. While carrying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out tasks related to device and media control, security controls should be kept in place.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comprises PHI disposal procedures, electronic media reuse, hardware and media accountability, and backup and storage procedures. Inadequate execution of these tasks increases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the likelihood of data leakage, which might have serious repercussions.</w:t>
      </w:r>
    </w:p>
    <w:p w14:paraId="1150A6A1" w14:textId="77777777" w:rsidR="00F16194" w:rsidRPr="00F16194" w:rsidRDefault="00F16194" w:rsidP="00F1619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948E02" w14:textId="77777777" w:rsidR="00F16194" w:rsidRPr="00F16194" w:rsidRDefault="00F16194" w:rsidP="00F1619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16194">
        <w:rPr>
          <w:rFonts w:ascii="Times New Roman" w:hAnsi="Times New Roman" w:cs="Times New Roman"/>
          <w:b/>
          <w:bCs/>
          <w:sz w:val="20"/>
          <w:szCs w:val="20"/>
        </w:rPr>
        <w:t>10.2 Mitigation against Administrative Threats</w:t>
      </w:r>
    </w:p>
    <w:p w14:paraId="2F969FB2" w14:textId="40794AED" w:rsidR="00F16194" w:rsidRPr="00F16194" w:rsidRDefault="00F16194" w:rsidP="00F1619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sz w:val="20"/>
          <w:szCs w:val="20"/>
        </w:rPr>
        <w:t>It is necessary to designate security authorities at The Center who will be in charge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maintaining and carrying out policies and procedures. For all users and workers, security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awareness and training programs should be developed and successfully executed. It will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a huge help in preventing social engineering assaults. A proper event management approach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and procedures that must be strictly followed in HC are required to lessen the effect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threats. This will significantly lessen the amount of data loss and assist in some manner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with data protection.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For The Center which aids in reacting to emergencies and other occurrences like fire,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vandalism, system failure, and natural disasters that harm systems that include electronic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protected health information, a business continuity and disaster recovery strategy must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in place. A business associate has been given permission by the Center in this instance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to make, receive, keep, or transmit electronic protected health information. Therefore,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Center should have an acceptable guarantee on information security from a commercial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partner.</w:t>
      </w:r>
    </w:p>
    <w:p w14:paraId="1A991A2D" w14:textId="23CD6DCE" w:rsidR="00456282" w:rsidRDefault="00F16194" w:rsidP="00F1619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sz w:val="20"/>
          <w:szCs w:val="20"/>
        </w:rPr>
        <w:lastRenderedPageBreak/>
        <w:t xml:space="preserve">They must determine all relevant information systems that store EPHI in order to comply with HIPAA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F16194">
        <w:rPr>
          <w:rFonts w:ascii="Times New Roman" w:hAnsi="Times New Roman" w:cs="Times New Roman"/>
          <w:sz w:val="20"/>
          <w:szCs w:val="20"/>
        </w:rPr>
        <w:t>egulations (Electronic Protected Health information). These information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systems require regular inventory and updating. A risk assessment must be done before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risk management program is put into place. This will guarantee the foundation of HC’s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security posture. Periodic reviews of the policies and practices that HC developed and put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into place are required. Based on the HC setup, these policies and procedures ought to cover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all relevant security components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82CCD68" w14:textId="7766A693" w:rsidR="00456282" w:rsidRDefault="00456282" w:rsidP="0045628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7BC141" w14:textId="77777777" w:rsidR="00F16194" w:rsidRPr="001F60C6" w:rsidRDefault="00F16194" w:rsidP="001F60C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F60C6">
        <w:rPr>
          <w:rFonts w:ascii="Times New Roman" w:hAnsi="Times New Roman" w:cs="Times New Roman"/>
          <w:b/>
          <w:bCs/>
          <w:sz w:val="20"/>
          <w:szCs w:val="20"/>
        </w:rPr>
        <w:t>10.3 Mitigation against Technical Threats</w:t>
      </w:r>
    </w:p>
    <w:p w14:paraId="2A5E6914" w14:textId="18514FF0" w:rsidR="00F16194" w:rsidRDefault="00F16194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sz w:val="20"/>
          <w:szCs w:val="20"/>
        </w:rPr>
        <w:t>The center should adopt a NAC solution to greatly boost the robustness of controls in order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strengthen access control. If multi-factor authentication has no negative effects on company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operations, it should be adopted. The Center should put into place a robust cryptographic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system that uses PKI, integrity algorithms like SHA-256, and encryption techniques like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AES 256. It ought to have been used for data in use, transmission, and at rest.</w:t>
      </w:r>
    </w:p>
    <w:p w14:paraId="027458A6" w14:textId="77777777" w:rsidR="00F16194" w:rsidRPr="00F16194" w:rsidRDefault="00F16194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2F1FABD" w14:textId="77777777" w:rsidR="00F16194" w:rsidRPr="001F60C6" w:rsidRDefault="00F16194" w:rsidP="001F60C6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F60C6">
        <w:rPr>
          <w:rFonts w:ascii="Times New Roman" w:hAnsi="Times New Roman" w:cs="Times New Roman"/>
          <w:b/>
          <w:bCs/>
          <w:sz w:val="20"/>
          <w:szCs w:val="20"/>
        </w:rPr>
        <w:t>11 Final Remarks and Conclusion</w:t>
      </w:r>
    </w:p>
    <w:p w14:paraId="172E3C70" w14:textId="54B231BF" w:rsidR="00F16194" w:rsidRPr="00F16194" w:rsidRDefault="00F16194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sz w:val="20"/>
          <w:szCs w:val="20"/>
        </w:rPr>
        <w:t>The Center, a bioinformatics firm, is an expert in molecular pathology, clinical genetic labs,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labs, and research. The Center must adhere to HITECH and HIPAA regulations since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handles PHI (Protected Health Information) and ePHI (Electronic Protected Health Information). The firm has adopted a few procedures in accordance with its data protection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policy. For confidentiality, integrity, and properly enforced access control measures, DAC</w:t>
      </w:r>
    </w:p>
    <w:p w14:paraId="6F72B2CE" w14:textId="154490BE" w:rsidR="00F16194" w:rsidRPr="00F16194" w:rsidRDefault="00F16194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sz w:val="20"/>
          <w:szCs w:val="20"/>
        </w:rPr>
        <w:t>and MAC have also been taken into consideration. It does not, however, address every hazard that is pertinent to The Center. Additional controls must be implemented in order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counteract all dangers.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The section above talks about these controls. The topic of necessary administrative,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technological, and physical measures that must be included to strengthen The Center’s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security posture and comply with HIPAA rules is explored. By putting these extra controls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into action, our organization will achieve the intended result and be better equipped to deal</w:t>
      </w:r>
    </w:p>
    <w:p w14:paraId="38113F94" w14:textId="02718100" w:rsidR="00F16194" w:rsidRDefault="00F16194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sz w:val="20"/>
          <w:szCs w:val="20"/>
        </w:rPr>
        <w:t>with diverse risks.</w:t>
      </w:r>
    </w:p>
    <w:p w14:paraId="576E8469" w14:textId="45DA9ED1" w:rsidR="00F16194" w:rsidRDefault="00F16194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4628EA7" w14:textId="3DC8DA2D" w:rsidR="001F60C6" w:rsidRPr="001F60C6" w:rsidRDefault="00F16194" w:rsidP="001F60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16194">
        <w:rPr>
          <w:rFonts w:ascii="Times New Roman" w:hAnsi="Times New Roman" w:cs="Times New Roman"/>
          <w:b/>
          <w:bCs/>
          <w:sz w:val="20"/>
          <w:szCs w:val="20"/>
        </w:rPr>
        <w:t>References</w:t>
      </w:r>
      <w:r w:rsidRPr="00F16194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16194"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 w:rsidRPr="00F16194">
        <w:rPr>
          <w:rFonts w:ascii="Times New Roman" w:hAnsi="Times New Roman" w:cs="Times New Roman"/>
          <w:sz w:val="20"/>
          <w:szCs w:val="20"/>
        </w:rPr>
        <w:t>Servies</w:t>
      </w:r>
      <w:proofErr w:type="spellEnd"/>
      <w:r w:rsidRPr="00F16194">
        <w:rPr>
          <w:rFonts w:ascii="Times New Roman" w:hAnsi="Times New Roman" w:cs="Times New Roman"/>
          <w:sz w:val="20"/>
          <w:szCs w:val="20"/>
        </w:rPr>
        <w:t xml:space="preserve">, A. </w:t>
      </w:r>
      <w:proofErr w:type="gramStart"/>
      <w:r w:rsidRPr="00F16194">
        <w:rPr>
          <w:rFonts w:ascii="Times New Roman" w:hAnsi="Times New Roman" w:cs="Times New Roman"/>
          <w:sz w:val="20"/>
          <w:szCs w:val="20"/>
        </w:rPr>
        <w:t>W. ”Architecting</w:t>
      </w:r>
      <w:proofErr w:type="gramEnd"/>
      <w:r w:rsidRPr="00F16194">
        <w:rPr>
          <w:rFonts w:ascii="Times New Roman" w:hAnsi="Times New Roman" w:cs="Times New Roman"/>
          <w:sz w:val="20"/>
          <w:szCs w:val="20"/>
        </w:rPr>
        <w:t xml:space="preserve"> of HIPAA Security and Compliance on Amazon Web Services.” (2018).</w:t>
      </w:r>
      <w:r w:rsidRPr="00F16194">
        <w:rPr>
          <w:rFonts w:ascii="Times New Roman" w:hAnsi="Times New Roman" w:cs="Times New Roman"/>
          <w:sz w:val="20"/>
          <w:szCs w:val="20"/>
        </w:rPr>
        <w:br/>
        <w:t xml:space="preserve">[2] Cartagenia Data Security &amp; Confidentiality Policy V06: </w:t>
      </w:r>
      <w:proofErr w:type="gramStart"/>
      <w:r w:rsidRPr="00F16194">
        <w:rPr>
          <w:rFonts w:ascii="Times New Roman" w:hAnsi="Times New Roman" w:cs="Times New Roman"/>
          <w:sz w:val="20"/>
          <w:szCs w:val="20"/>
        </w:rPr>
        <w:t>BCO(</w:t>
      </w:r>
      <w:proofErr w:type="gramEnd"/>
      <w:r w:rsidRPr="00F16194">
        <w:rPr>
          <w:rFonts w:ascii="Times New Roman" w:hAnsi="Times New Roman" w:cs="Times New Roman"/>
          <w:sz w:val="20"/>
          <w:szCs w:val="20"/>
        </w:rPr>
        <w:t>*), SVV, HVE, GJA, LEW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(2014)</w:t>
      </w:r>
      <w:r w:rsidRPr="00F16194">
        <w:rPr>
          <w:rFonts w:ascii="Times New Roman" w:hAnsi="Times New Roman" w:cs="Times New Roman"/>
          <w:sz w:val="20"/>
          <w:szCs w:val="20"/>
        </w:rPr>
        <w:br/>
        <w:t xml:space="preserve">[3] Robinson, Glen, </w:t>
      </w:r>
      <w:proofErr w:type="spellStart"/>
      <w:r w:rsidRPr="00F16194">
        <w:rPr>
          <w:rFonts w:ascii="Times New Roman" w:hAnsi="Times New Roman" w:cs="Times New Roman"/>
          <w:sz w:val="20"/>
          <w:szCs w:val="20"/>
        </w:rPr>
        <w:t>Ianni</w:t>
      </w:r>
      <w:proofErr w:type="spellEnd"/>
      <w:r w:rsidRPr="00F161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6194">
        <w:rPr>
          <w:rFonts w:ascii="Times New Roman" w:hAnsi="Times New Roman" w:cs="Times New Roman"/>
          <w:sz w:val="20"/>
          <w:szCs w:val="20"/>
        </w:rPr>
        <w:t>Vamvadelis</w:t>
      </w:r>
      <w:proofErr w:type="spellEnd"/>
      <w:r w:rsidRPr="00F16194">
        <w:rPr>
          <w:rFonts w:ascii="Times New Roman" w:hAnsi="Times New Roman" w:cs="Times New Roman"/>
          <w:sz w:val="20"/>
          <w:szCs w:val="20"/>
        </w:rPr>
        <w:t xml:space="preserve">, and Attila </w:t>
      </w:r>
      <w:proofErr w:type="spellStart"/>
      <w:r w:rsidRPr="00F16194">
        <w:rPr>
          <w:rFonts w:ascii="Times New Roman" w:hAnsi="Times New Roman" w:cs="Times New Roman"/>
          <w:sz w:val="20"/>
          <w:szCs w:val="20"/>
        </w:rPr>
        <w:t>Narin</w:t>
      </w:r>
      <w:proofErr w:type="spellEnd"/>
      <w:r w:rsidRPr="00F16194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16194">
        <w:rPr>
          <w:rFonts w:ascii="Times New Roman" w:hAnsi="Times New Roman" w:cs="Times New Roman"/>
          <w:sz w:val="20"/>
          <w:szCs w:val="20"/>
        </w:rPr>
        <w:t>”Using</w:t>
      </w:r>
      <w:proofErr w:type="gramEnd"/>
      <w:r w:rsidRPr="00F16194">
        <w:rPr>
          <w:rFonts w:ascii="Times New Roman" w:hAnsi="Times New Roman" w:cs="Times New Roman"/>
          <w:sz w:val="20"/>
          <w:szCs w:val="20"/>
        </w:rPr>
        <w:t xml:space="preserve"> Amazon web services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disaster recovery.” Amazon web services 22 (2014).</w:t>
      </w:r>
      <w:r w:rsidRPr="00F16194">
        <w:rPr>
          <w:rFonts w:ascii="Times New Roman" w:hAnsi="Times New Roman" w:cs="Times New Roman"/>
          <w:sz w:val="20"/>
          <w:szCs w:val="20"/>
        </w:rPr>
        <w:br/>
        <w:t>[4] Hospital Center Policies: HC-C04101</w:t>
      </w:r>
      <w:r w:rsidRPr="00F16194">
        <w:rPr>
          <w:rFonts w:ascii="Times New Roman" w:hAnsi="Times New Roman" w:cs="Times New Roman"/>
          <w:sz w:val="20"/>
          <w:szCs w:val="20"/>
        </w:rPr>
        <w:br/>
        <w:t xml:space="preserve">[5] Scholl, M., </w:t>
      </w:r>
      <w:proofErr w:type="gramStart"/>
      <w:r w:rsidRPr="00F16194">
        <w:rPr>
          <w:rFonts w:ascii="Times New Roman" w:hAnsi="Times New Roman" w:cs="Times New Roman"/>
          <w:sz w:val="20"/>
          <w:szCs w:val="20"/>
        </w:rPr>
        <w:t>et al. ”An</w:t>
      </w:r>
      <w:proofErr w:type="gramEnd"/>
      <w:r w:rsidRPr="00F16194">
        <w:rPr>
          <w:rFonts w:ascii="Times New Roman" w:hAnsi="Times New Roman" w:cs="Times New Roman"/>
          <w:sz w:val="20"/>
          <w:szCs w:val="20"/>
        </w:rPr>
        <w:t xml:space="preserve"> introductory resource guide for implementing the health insurance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16194">
        <w:rPr>
          <w:rFonts w:ascii="Times New Roman" w:hAnsi="Times New Roman" w:cs="Times New Roman"/>
          <w:sz w:val="20"/>
          <w:szCs w:val="20"/>
        </w:rPr>
        <w:t>portability and accountability act (HIPAA) security rule (NIST Special Publication 800-66, rev. 1). Gaithersburg, MD: Computer Security Division.” Information Technology</w:t>
      </w:r>
      <w:r w:rsidR="001F60C6">
        <w:rPr>
          <w:rFonts w:ascii="Times New Roman" w:hAnsi="Times New Roman" w:cs="Times New Roman"/>
          <w:sz w:val="20"/>
          <w:szCs w:val="20"/>
        </w:rPr>
        <w:t xml:space="preserve"> </w:t>
      </w:r>
      <w:r w:rsidR="001F60C6" w:rsidRPr="001F60C6">
        <w:rPr>
          <w:rFonts w:ascii="Times New Roman" w:hAnsi="Times New Roman" w:cs="Times New Roman"/>
          <w:sz w:val="20"/>
          <w:szCs w:val="20"/>
        </w:rPr>
        <w:t>Laboratory, National Institute of Standards and Technology. Retrieved from http://csrc.nist. gov/publications/</w:t>
      </w:r>
      <w:proofErr w:type="spellStart"/>
      <w:r w:rsidR="001F60C6" w:rsidRPr="001F60C6">
        <w:rPr>
          <w:rFonts w:ascii="Times New Roman" w:hAnsi="Times New Roman" w:cs="Times New Roman"/>
          <w:sz w:val="20"/>
          <w:szCs w:val="20"/>
        </w:rPr>
        <w:t>nistpubs</w:t>
      </w:r>
      <w:proofErr w:type="spellEnd"/>
      <w:r w:rsidR="001F60C6" w:rsidRPr="001F60C6">
        <w:rPr>
          <w:rFonts w:ascii="Times New Roman" w:hAnsi="Times New Roman" w:cs="Times New Roman"/>
          <w:sz w:val="20"/>
          <w:szCs w:val="20"/>
        </w:rPr>
        <w:t>/800-66-Rev1/SP-800-66-Revision1. pdf (2008).</w:t>
      </w:r>
    </w:p>
    <w:p w14:paraId="24F68F63" w14:textId="77777777" w:rsidR="001F60C6" w:rsidRDefault="001F60C6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 xml:space="preserve">[6] Johnson, Stephen B., </w:t>
      </w:r>
      <w:proofErr w:type="gramStart"/>
      <w:r w:rsidRPr="001F60C6">
        <w:rPr>
          <w:rFonts w:ascii="Times New Roman" w:hAnsi="Times New Roman" w:cs="Times New Roman"/>
          <w:sz w:val="20"/>
          <w:szCs w:val="20"/>
        </w:rPr>
        <w:t>et al. ”Using</w:t>
      </w:r>
      <w:proofErr w:type="gramEnd"/>
      <w:r w:rsidRPr="001F60C6">
        <w:rPr>
          <w:rFonts w:ascii="Times New Roman" w:hAnsi="Times New Roman" w:cs="Times New Roman"/>
          <w:sz w:val="20"/>
          <w:szCs w:val="20"/>
        </w:rPr>
        <w:t xml:space="preserve"> global unique identifiers to link autism collections.”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>Journal of the American Medical Informatics Association 17.6 (2010): 689-695.</w:t>
      </w:r>
    </w:p>
    <w:p w14:paraId="72AC4E68" w14:textId="11FCA946" w:rsidR="001F60C6" w:rsidRPr="001F60C6" w:rsidRDefault="001F60C6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 xml:space="preserve">[7] Alder, Steve. </w:t>
      </w:r>
      <w:proofErr w:type="gramStart"/>
      <w:r w:rsidRPr="001F60C6">
        <w:rPr>
          <w:rFonts w:ascii="Times New Roman" w:hAnsi="Times New Roman" w:cs="Times New Roman"/>
          <w:sz w:val="20"/>
          <w:szCs w:val="20"/>
        </w:rPr>
        <w:t>”What</w:t>
      </w:r>
      <w:proofErr w:type="gramEnd"/>
      <w:r w:rsidRPr="001F60C6">
        <w:rPr>
          <w:rFonts w:ascii="Times New Roman" w:hAnsi="Times New Roman" w:cs="Times New Roman"/>
          <w:sz w:val="20"/>
          <w:szCs w:val="20"/>
        </w:rPr>
        <w:t xml:space="preserve"> is Considered Protected Health Information Under HIPAA.” (2018).</w:t>
      </w:r>
    </w:p>
    <w:p w14:paraId="5CAA5FED" w14:textId="77777777" w:rsidR="001F60C6" w:rsidRDefault="001F60C6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 xml:space="preserve">[8] Bell, D. Elliott, and Leonard J. La </w:t>
      </w:r>
      <w:proofErr w:type="spellStart"/>
      <w:r w:rsidRPr="001F60C6">
        <w:rPr>
          <w:rFonts w:ascii="Times New Roman" w:hAnsi="Times New Roman" w:cs="Times New Roman"/>
          <w:sz w:val="20"/>
          <w:szCs w:val="20"/>
        </w:rPr>
        <w:t>Padula</w:t>
      </w:r>
      <w:proofErr w:type="spellEnd"/>
      <w:r w:rsidRPr="001F60C6">
        <w:rPr>
          <w:rFonts w:ascii="Times New Roman" w:hAnsi="Times New Roman" w:cs="Times New Roman"/>
          <w:sz w:val="20"/>
          <w:szCs w:val="20"/>
        </w:rPr>
        <w:t>. Secure computer system: Unified exposition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1F60C6">
        <w:rPr>
          <w:rFonts w:ascii="Times New Roman" w:hAnsi="Times New Roman" w:cs="Times New Roman"/>
          <w:sz w:val="20"/>
          <w:szCs w:val="20"/>
        </w:rPr>
        <w:t>multics</w:t>
      </w:r>
      <w:proofErr w:type="spellEnd"/>
      <w:r w:rsidRPr="001F60C6">
        <w:rPr>
          <w:rFonts w:ascii="Times New Roman" w:hAnsi="Times New Roman" w:cs="Times New Roman"/>
          <w:sz w:val="20"/>
          <w:szCs w:val="20"/>
        </w:rPr>
        <w:t xml:space="preserve"> interpretation. MITRE CORP BEDFORD MA, 1976.</w:t>
      </w:r>
    </w:p>
    <w:p w14:paraId="3E04994D" w14:textId="14194D21" w:rsidR="001F60C6" w:rsidRPr="001F60C6" w:rsidRDefault="001F60C6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 xml:space="preserve">[9] Brewer, David FC, and Michael J. Nash. </w:t>
      </w:r>
      <w:proofErr w:type="gramStart"/>
      <w:r w:rsidRPr="001F60C6">
        <w:rPr>
          <w:rFonts w:ascii="Times New Roman" w:hAnsi="Times New Roman" w:cs="Times New Roman"/>
          <w:sz w:val="20"/>
          <w:szCs w:val="20"/>
        </w:rPr>
        <w:t>”The</w:t>
      </w:r>
      <w:proofErr w:type="gramEnd"/>
      <w:r w:rsidRPr="001F60C6">
        <w:rPr>
          <w:rFonts w:ascii="Times New Roman" w:hAnsi="Times New Roman" w:cs="Times New Roman"/>
          <w:sz w:val="20"/>
          <w:szCs w:val="20"/>
        </w:rPr>
        <w:t xml:space="preserve"> Chinese Wall Security Policy.” IEEE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>symposium on security and privacy. Vol. 1989. 1989.</w:t>
      </w:r>
    </w:p>
    <w:p w14:paraId="57097A79" w14:textId="56E3D36E" w:rsidR="001F60C6" w:rsidRPr="001F60C6" w:rsidRDefault="001F60C6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 xml:space="preserve">[10] Sandhu, Ravi, David Ferraiolo, and Richard Kuhn. </w:t>
      </w:r>
      <w:proofErr w:type="gramStart"/>
      <w:r w:rsidRPr="001F60C6">
        <w:rPr>
          <w:rFonts w:ascii="Times New Roman" w:hAnsi="Times New Roman" w:cs="Times New Roman"/>
          <w:sz w:val="20"/>
          <w:szCs w:val="20"/>
        </w:rPr>
        <w:t>”The</w:t>
      </w:r>
      <w:proofErr w:type="gramEnd"/>
      <w:r w:rsidRPr="001F60C6">
        <w:rPr>
          <w:rFonts w:ascii="Times New Roman" w:hAnsi="Times New Roman" w:cs="Times New Roman"/>
          <w:sz w:val="20"/>
          <w:szCs w:val="20"/>
        </w:rPr>
        <w:t xml:space="preserve"> NIST model for role-based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>access control: towards a unified standard.” ACM workshop on Role-based access control.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>Vol. 10. No. 344287.344301. 2000.</w:t>
      </w:r>
    </w:p>
    <w:p w14:paraId="6BCC6A49" w14:textId="27BA3A6A" w:rsidR="001F60C6" w:rsidRPr="001F60C6" w:rsidRDefault="001F60C6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 xml:space="preserve">[11] Diver, Sorcha. </w:t>
      </w:r>
      <w:proofErr w:type="gramStart"/>
      <w:r w:rsidRPr="001F60C6">
        <w:rPr>
          <w:rFonts w:ascii="Times New Roman" w:hAnsi="Times New Roman" w:cs="Times New Roman"/>
          <w:sz w:val="20"/>
          <w:szCs w:val="20"/>
        </w:rPr>
        <w:t>”Information</w:t>
      </w:r>
      <w:proofErr w:type="gramEnd"/>
      <w:r w:rsidRPr="001F60C6">
        <w:rPr>
          <w:rFonts w:ascii="Times New Roman" w:hAnsi="Times New Roman" w:cs="Times New Roman"/>
          <w:sz w:val="20"/>
          <w:szCs w:val="20"/>
        </w:rPr>
        <w:t xml:space="preserve"> security policy-a development guide for large and small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>companies.” Sans Institute (2007): 1-37.</w:t>
      </w:r>
    </w:p>
    <w:p w14:paraId="6F0B8D44" w14:textId="45AA3B14" w:rsidR="00F16194" w:rsidRPr="00333925" w:rsidRDefault="001F60C6" w:rsidP="001F60C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0C6">
        <w:rPr>
          <w:rFonts w:ascii="Times New Roman" w:hAnsi="Times New Roman" w:cs="Times New Roman"/>
          <w:sz w:val="20"/>
          <w:szCs w:val="20"/>
        </w:rPr>
        <w:t xml:space="preserve">[12] </w:t>
      </w:r>
      <w:proofErr w:type="spellStart"/>
      <w:r w:rsidRPr="001F60C6">
        <w:rPr>
          <w:rFonts w:ascii="Times New Roman" w:hAnsi="Times New Roman" w:cs="Times New Roman"/>
          <w:sz w:val="20"/>
          <w:szCs w:val="20"/>
        </w:rPr>
        <w:t>Rasalam</w:t>
      </w:r>
      <w:proofErr w:type="spellEnd"/>
      <w:r w:rsidRPr="001F60C6">
        <w:rPr>
          <w:rFonts w:ascii="Times New Roman" w:hAnsi="Times New Roman" w:cs="Times New Roman"/>
          <w:sz w:val="20"/>
          <w:szCs w:val="20"/>
        </w:rPr>
        <w:t xml:space="preserve">, James, and Raymond J. Elson. </w:t>
      </w:r>
      <w:proofErr w:type="gramStart"/>
      <w:r w:rsidRPr="001F60C6">
        <w:rPr>
          <w:rFonts w:ascii="Times New Roman" w:hAnsi="Times New Roman" w:cs="Times New Roman"/>
          <w:sz w:val="20"/>
          <w:szCs w:val="20"/>
        </w:rPr>
        <w:t>”Cybersecurity</w:t>
      </w:r>
      <w:proofErr w:type="gramEnd"/>
      <w:r w:rsidRPr="001F60C6">
        <w:rPr>
          <w:rFonts w:ascii="Times New Roman" w:hAnsi="Times New Roman" w:cs="Times New Roman"/>
          <w:sz w:val="20"/>
          <w:szCs w:val="20"/>
        </w:rPr>
        <w:t xml:space="preserve"> And Management’s Ethical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>Responsibilities: The Case Of Equifax And Uber.” Global Journal of Business Pedagogy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0C6">
        <w:rPr>
          <w:rFonts w:ascii="Times New Roman" w:hAnsi="Times New Roman" w:cs="Times New Roman"/>
          <w:sz w:val="20"/>
          <w:szCs w:val="20"/>
        </w:rPr>
        <w:t>Volume 3.3 (2019).</w:t>
      </w:r>
    </w:p>
    <w:sectPr w:rsidR="00F16194" w:rsidRPr="0033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BB"/>
    <w:rsid w:val="00043C9A"/>
    <w:rsid w:val="001E59D1"/>
    <w:rsid w:val="001F60C6"/>
    <w:rsid w:val="002D453C"/>
    <w:rsid w:val="00301C96"/>
    <w:rsid w:val="00333925"/>
    <w:rsid w:val="0035140F"/>
    <w:rsid w:val="00456282"/>
    <w:rsid w:val="005E71BB"/>
    <w:rsid w:val="005F1C84"/>
    <w:rsid w:val="00866F85"/>
    <w:rsid w:val="0091018D"/>
    <w:rsid w:val="00933BF6"/>
    <w:rsid w:val="0095349C"/>
    <w:rsid w:val="009D415D"/>
    <w:rsid w:val="00BD077D"/>
    <w:rsid w:val="00D21A10"/>
    <w:rsid w:val="00DF785C"/>
    <w:rsid w:val="00F1619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FE4"/>
  <w15:chartTrackingRefBased/>
  <w15:docId w15:val="{33D89743-144F-4401-8C8D-41B711E2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rsaiya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4165-948B-419D-974B-B5AE9107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5679</Words>
  <Characters>32375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Saiya</dc:creator>
  <cp:keywords/>
  <dc:description/>
  <cp:lastModifiedBy>Rishit Saiya</cp:lastModifiedBy>
  <cp:revision>7</cp:revision>
  <dcterms:created xsi:type="dcterms:W3CDTF">2022-12-04T20:05:00Z</dcterms:created>
  <dcterms:modified xsi:type="dcterms:W3CDTF">2022-12-04T21:26:00Z</dcterms:modified>
</cp:coreProperties>
</file>