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Architectural Justification</w:t>
      </w:r>
    </w:p>
    <w:p>
      <w:r>
        <w:rPr>
          <w:b/>
          <w:bCs/>
        </w:rPr>
        <w:t xml:space="preserve">We chose Layered Architecture for the Digital Campus Library Reservation Gateway System.</w:t>
      </w:r>
    </w:p>
    <w:p/>
    <w:p>
      <w:r>
        <w:rPr>
          <w:b/>
          <w:bCs/>
        </w:rPr>
        <w:t xml:space="preserve">Architectural Choice</w:t>
      </w:r>
    </w:p>
    <w:p>
      <w:r>
        <w:t xml:space="preserve">The system is organized into a Presentation Layer (Web UI Component), a Business Layer (Reservation Manager, Catalog &amp; Loan Service, and Notification Components), and a Data/Integration Layer (Database Component and Campus SSO Adapter Component).</w:t>
      </w:r>
    </w:p>
    <w:p/>
    <w:p>
      <w:r>
        <w:rPr>
          <w:b/>
          <w:bCs/>
        </w:rPr>
        <w:t xml:space="preserve">Reasons for Selection</w:t>
      </w:r>
    </w:p>
    <w:p>
      <w:r>
        <w:t xml:space="preserve">1. Clear separation of concerns: Reservation logic (FIFO queueing, hold limits), catalog/loan logic (search, checkout, fines), and notification dispatch are distinct, well-understood business rules that map naturally onto separate business-layer components, while the UI and data access stay isolated from that logic — matching the structured, policy-heavy nature of the library domain (FR-001–FR-005).</w:t>
      </w:r>
    </w:p>
    <w:p>
      <w:r>
        <w:t xml:space="preserve">2. Simplicity and maintainability for a moderate-scale system: with a single institution's catalog (10,000+ records) and up to 500 concurrent users (NFR-001), a layered monolith is easier to build, test, and deploy than a distributed microservices architecture, avoiding unnecessary network latency and operational overhead.</w:t>
      </w:r>
    </w:p>
    <w:p/>
    <w:p>
      <w:r>
        <w:rPr>
          <w:b/>
          <w:bCs/>
        </w:rPr>
        <w:t xml:space="preserve">Security Advantage</w:t>
      </w:r>
    </w:p>
    <w:p>
      <w:r>
        <w:t xml:space="preserve">All reservation, checkout, and account operations must pass through the Business Layer, which enforces authentication via the Campus SSO Adapter Component before reaching the Data Layer (NFR-002). This centralizes authorization checks in one layer rather than duplicating them across UI and data-access code, reducing the risk of an unauthenticated request reaching the Database Component directly.</w:t>
      </w:r>
    </w:p>
    <w:p/>
    <w:p>
      <w:r>
        <w:rPr>
          <w:b/>
          <w:bCs/>
        </w:rPr>
        <w:t xml:space="preserve">Performance Benefit</w:t>
      </w:r>
    </w:p>
    <w:p>
      <w:r>
        <w:t xml:space="preserve">Because the Business Layer components communicate with the Database Component through a single, well-defined DB Interface, query patterns (e.g., catalog search, availability checks) can be optimized and indexed in one place, helping meet the 2-second response time target under 500 concurrent users (NFR-001) without the added round-trip latency that a distributed service-to-service architecture would introduce.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2026-09-27T06:06:04.338Z</dcterms:created>
  <dcterms:modified xsi:type="dcterms:W3CDTF">2026-09-27T06:06:04.346Z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