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IDEMPOTENCY-KEY COLLISION CHECK</w:t>
      </w:r>
    </w:p>
    <w:p>
      <w:pPr>
        <w:jc w:val="center"/>
      </w:pPr>
      <w:r>
        <w:rPr>
          <w:sz w:val="18"/>
        </w:rPr>
        <w:t>Reliability Test Note — Fictional API Retry Trace</w:t>
      </w:r>
    </w:p>
    <w:p>
      <w:pPr>
        <w:spacing w:before="100" w:after="60"/>
      </w:pPr>
      <w:r>
        <w:rPr>
          <w:b/>
          <w:sz w:val="22"/>
        </w:rPr>
        <w:t>1. Executive Summary</w:t>
      </w:r>
    </w:p>
    <w:p>
      <w:pPr>
        <w:spacing w:after="80" w:line="252" w:lineRule="auto"/>
      </w:pPr>
      <w:r>
        <w:rPr>
          <w:sz w:val="18"/>
        </w:rPr>
        <w:t>A small Python checker was used to review a fictional API retry trace for unsafe reuse of idempotency keys. The test successfully identified one legitimate retry where the same key was reused with the same request payload, and one deliberate collision where the same key was reused with different request data.</w:t>
      </w:r>
    </w:p>
    <w:p>
      <w:pPr>
        <w:spacing w:after="80" w:line="252" w:lineRule="auto"/>
      </w:pPr>
      <w:r>
        <w:rPr>
          <w:sz w:val="18"/>
        </w:rPr>
        <w:t>Overall result: REVIEW REQUIRED. The collision condition was detected as intended and should be investigated before treating the trace as reliability-safe.</w:t>
      </w:r>
    </w:p>
    <w:p>
      <w:pPr>
        <w:spacing w:before="100" w:after="60"/>
      </w:pPr>
      <w:r>
        <w:rPr>
          <w:b/>
          <w:sz w:val="22"/>
        </w:rPr>
        <w:t>2. What Was Tested</w:t>
      </w:r>
    </w:p>
    <w:p>
      <w:pPr>
        <w:spacing w:after="80" w:line="252" w:lineRule="auto"/>
      </w:pPr>
      <w:r>
        <w:rPr>
          <w:sz w:val="18"/>
        </w:rPr>
        <w:t>The test contained eight fictional API events covering an initial request, a timeout, a valid retry, normal request activity and a deliberate same-key/different-payload collision.</w:t>
      </w:r>
    </w:p>
    <w:p>
      <w:pPr>
        <w:spacing w:after="80" w:line="252" w:lineRule="auto"/>
      </w:pPr>
      <w:r>
        <w:rPr>
          <w:sz w:val="18"/>
        </w:rPr>
        <w:t>No live API calls, production logs or production data were used. The purpose was to verify that the checker can distinguish a safe retry from unsafe reuse of an idempotency key.</w:t>
      </w:r>
    </w:p>
    <w:p>
      <w:pPr>
        <w:spacing w:before="100" w:after="60"/>
      </w:pPr>
      <w:r>
        <w:rPr>
          <w:b/>
          <w:sz w:val="22"/>
        </w:rPr>
        <w:t>3. How the Checker Works</w:t>
      </w:r>
    </w:p>
    <w:p>
      <w:pPr>
        <w:spacing w:after="80" w:line="252" w:lineRule="auto"/>
      </w:pPr>
      <w:r>
        <w:rPr>
          <w:sz w:val="18"/>
        </w:rPr>
        <w:t>The checker records the request payload associated with each idempotency key. When the same key appears again as a request or retry, the new payload is compared with the original.</w:t>
      </w:r>
    </w:p>
    <w:p>
      <w:pPr>
        <w:spacing w:after="80" w:line="252" w:lineRule="auto"/>
      </w:pPr>
      <w:r>
        <w:rPr>
          <w:sz w:val="18"/>
        </w:rPr>
        <w:t>Same key + same payload = SAFE RETRY. Same key + different payload = COLLISION. Timeout and response events are retained for trace context but are not treated as new requests.</w:t>
      </w:r>
    </w:p>
    <w:p>
      <w:pPr>
        <w:spacing w:before="100" w:after="60"/>
      </w:pPr>
      <w:r>
        <w:rPr>
          <w:b/>
          <w:sz w:val="22"/>
        </w:rPr>
        <w:t>4. Event-by-Event Results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102"/>
        <w:gridCol w:w="2102"/>
        <w:gridCol w:w="2102"/>
        <w:gridCol w:w="2102"/>
        <w:gridCol w:w="2102"/>
      </w:tblGrid>
      <w:tr>
        <w:tc>
          <w:tcPr>
            <w:tcW w:type="dxa" w:w="2102"/>
            <w:vAlign w:val="center"/>
            <w:shd w:fill="D9EAF7"/>
          </w:tcPr>
          <w:p>
            <w:r/>
            <w:r>
              <w:rPr>
                <w:b/>
                <w:sz w:val="17"/>
              </w:rPr>
              <w:t>Event</w:t>
            </w:r>
          </w:p>
        </w:tc>
        <w:tc>
          <w:tcPr>
            <w:tcW w:type="dxa" w:w="2102"/>
            <w:vAlign w:val="center"/>
            <w:shd w:fill="D9EAF7"/>
          </w:tcPr>
          <w:p>
            <w:r/>
            <w:r>
              <w:rPr>
                <w:b/>
                <w:sz w:val="17"/>
              </w:rPr>
              <w:t>Type</w:t>
            </w:r>
          </w:p>
        </w:tc>
        <w:tc>
          <w:tcPr>
            <w:tcW w:type="dxa" w:w="2102"/>
            <w:vAlign w:val="center"/>
            <w:shd w:fill="D9EAF7"/>
          </w:tcPr>
          <w:p>
            <w:r/>
            <w:r>
              <w:rPr>
                <w:b/>
                <w:sz w:val="17"/>
              </w:rPr>
              <w:t>Key</w:t>
            </w:r>
          </w:p>
        </w:tc>
        <w:tc>
          <w:tcPr>
            <w:tcW w:type="dxa" w:w="2102"/>
            <w:vAlign w:val="center"/>
            <w:shd w:fill="D9EAF7"/>
          </w:tcPr>
          <w:p>
            <w:r/>
            <w:r>
              <w:rPr>
                <w:b/>
                <w:sz w:val="17"/>
              </w:rPr>
              <w:t>Finding</w:t>
            </w:r>
          </w:p>
        </w:tc>
        <w:tc>
          <w:tcPr>
            <w:tcW w:type="dxa" w:w="2102"/>
            <w:vAlign w:val="center"/>
            <w:shd w:fill="D9EAF7"/>
          </w:tcPr>
          <w:p>
            <w:r/>
            <w:r>
              <w:rPr>
                <w:b/>
                <w:sz w:val="17"/>
              </w:rPr>
              <w:t>Interpretation</w:t>
            </w:r>
          </w:p>
        </w:tc>
      </w:tr>
      <w:tr>
        <w:tc>
          <w:tcPr>
            <w:tcW w:type="dxa" w:w="2102"/>
            <w:vAlign w:val="center"/>
          </w:tcPr>
          <w:p>
            <w:r/>
            <w:r>
              <w:rPr>
                <w:b w:val="0"/>
                <w:sz w:val="17"/>
              </w:rPr>
              <w:t>1</w:t>
            </w:r>
          </w:p>
        </w:tc>
        <w:tc>
          <w:tcPr>
            <w:tcW w:type="dxa" w:w="2102"/>
            <w:vAlign w:val="center"/>
          </w:tcPr>
          <w:p>
            <w:r/>
            <w:r>
              <w:rPr>
                <w:b w:val="0"/>
                <w:sz w:val="17"/>
              </w:rPr>
              <w:t>request_sent</w:t>
            </w:r>
          </w:p>
        </w:tc>
        <w:tc>
          <w:tcPr>
            <w:tcW w:type="dxa" w:w="2102"/>
            <w:vAlign w:val="center"/>
          </w:tcPr>
          <w:p>
            <w:r/>
            <w:r>
              <w:rPr>
                <w:b w:val="0"/>
                <w:sz w:val="17"/>
              </w:rPr>
              <w:t>pay-001</w:t>
            </w:r>
          </w:p>
        </w:tc>
        <w:tc>
          <w:tcPr>
            <w:tcW w:type="dxa" w:w="2102"/>
            <w:vAlign w:val="center"/>
          </w:tcPr>
          <w:p>
            <w:r/>
            <w:r>
              <w:rPr>
                <w:b w:val="0"/>
                <w:sz w:val="17"/>
              </w:rPr>
              <w:t>FIRST_USE</w:t>
            </w:r>
          </w:p>
        </w:tc>
        <w:tc>
          <w:tcPr>
            <w:tcW w:type="dxa" w:w="2102"/>
            <w:vAlign w:val="center"/>
          </w:tcPr>
          <w:p>
            <w:r/>
            <w:r>
              <w:rPr>
                <w:b w:val="0"/>
                <w:sz w:val="17"/>
              </w:rPr>
              <w:t>New key</w:t>
            </w:r>
          </w:p>
        </w:tc>
      </w:tr>
      <w:tr>
        <w:tc>
          <w:tcPr>
            <w:tcW w:type="dxa" w:w="2102"/>
            <w:vAlign w:val="center"/>
          </w:tcPr>
          <w:p>
            <w:r/>
            <w:r>
              <w:rPr>
                <w:b w:val="0"/>
                <w:sz w:val="17"/>
              </w:rPr>
              <w:t>2</w:t>
            </w:r>
          </w:p>
        </w:tc>
        <w:tc>
          <w:tcPr>
            <w:tcW w:type="dxa" w:w="2102"/>
            <w:vAlign w:val="center"/>
          </w:tcPr>
          <w:p>
            <w:r/>
            <w:r>
              <w:rPr>
                <w:b w:val="0"/>
                <w:sz w:val="17"/>
              </w:rPr>
              <w:t>timeout</w:t>
            </w:r>
          </w:p>
        </w:tc>
        <w:tc>
          <w:tcPr>
            <w:tcW w:type="dxa" w:w="2102"/>
            <w:vAlign w:val="center"/>
          </w:tcPr>
          <w:p>
            <w:r/>
            <w:r>
              <w:rPr>
                <w:b w:val="0"/>
                <w:sz w:val="17"/>
              </w:rPr>
              <w:t>pay-001</w:t>
            </w:r>
          </w:p>
        </w:tc>
        <w:tc>
          <w:tcPr>
            <w:tcW w:type="dxa" w:w="2102"/>
            <w:vAlign w:val="center"/>
          </w:tcPr>
          <w:p>
            <w:r/>
            <w:r>
              <w:rPr>
                <w:b w:val="0"/>
                <w:sz w:val="17"/>
              </w:rPr>
              <w:t>TRACE_EVENT</w:t>
            </w:r>
          </w:p>
        </w:tc>
        <w:tc>
          <w:tcPr>
            <w:tcW w:type="dxa" w:w="2102"/>
            <w:vAlign w:val="center"/>
          </w:tcPr>
          <w:p>
            <w:r/>
            <w:r>
              <w:rPr>
                <w:b w:val="0"/>
                <w:sz w:val="17"/>
              </w:rPr>
              <w:t>Trace context only</w:t>
            </w:r>
          </w:p>
        </w:tc>
      </w:tr>
      <w:tr>
        <w:tc>
          <w:tcPr>
            <w:tcW w:type="dxa" w:w="2102"/>
            <w:vAlign w:val="center"/>
          </w:tcPr>
          <w:p>
            <w:r/>
            <w:r>
              <w:rPr>
                <w:b w:val="0"/>
                <w:sz w:val="17"/>
              </w:rPr>
              <w:t>3</w:t>
            </w:r>
          </w:p>
        </w:tc>
        <w:tc>
          <w:tcPr>
            <w:tcW w:type="dxa" w:w="2102"/>
            <w:vAlign w:val="center"/>
          </w:tcPr>
          <w:p>
            <w:r/>
            <w:r>
              <w:rPr>
                <w:b w:val="0"/>
                <w:sz w:val="17"/>
              </w:rPr>
              <w:t>retry_sent</w:t>
            </w:r>
          </w:p>
        </w:tc>
        <w:tc>
          <w:tcPr>
            <w:tcW w:type="dxa" w:w="2102"/>
            <w:vAlign w:val="center"/>
          </w:tcPr>
          <w:p>
            <w:r/>
            <w:r>
              <w:rPr>
                <w:b w:val="0"/>
                <w:sz w:val="17"/>
              </w:rPr>
              <w:t>pay-001</w:t>
            </w:r>
          </w:p>
        </w:tc>
        <w:tc>
          <w:tcPr>
            <w:tcW w:type="dxa" w:w="2102"/>
            <w:vAlign w:val="center"/>
          </w:tcPr>
          <w:p>
            <w:r/>
            <w:r>
              <w:rPr>
                <w:b w:val="0"/>
                <w:sz w:val="17"/>
              </w:rPr>
              <w:t>SAFE_RETRY</w:t>
            </w:r>
          </w:p>
        </w:tc>
        <w:tc>
          <w:tcPr>
            <w:tcW w:type="dxa" w:w="2102"/>
            <w:vAlign w:val="center"/>
          </w:tcPr>
          <w:p>
            <w:r/>
            <w:r>
              <w:rPr>
                <w:b w:val="0"/>
                <w:sz w:val="17"/>
              </w:rPr>
              <w:t>Same key + same payload</w:t>
            </w:r>
          </w:p>
        </w:tc>
      </w:tr>
      <w:tr>
        <w:tc>
          <w:tcPr>
            <w:tcW w:type="dxa" w:w="2102"/>
            <w:vAlign w:val="center"/>
          </w:tcPr>
          <w:p>
            <w:r/>
            <w:r>
              <w:rPr>
                <w:b w:val="0"/>
                <w:sz w:val="17"/>
              </w:rPr>
              <w:t>4</w:t>
            </w:r>
          </w:p>
        </w:tc>
        <w:tc>
          <w:tcPr>
            <w:tcW w:type="dxa" w:w="2102"/>
            <w:vAlign w:val="center"/>
          </w:tcPr>
          <w:p>
            <w:r/>
            <w:r>
              <w:rPr>
                <w:b w:val="0"/>
                <w:sz w:val="17"/>
              </w:rPr>
              <w:t>response_received</w:t>
            </w:r>
          </w:p>
        </w:tc>
        <w:tc>
          <w:tcPr>
            <w:tcW w:type="dxa" w:w="2102"/>
            <w:vAlign w:val="center"/>
          </w:tcPr>
          <w:p>
            <w:r/>
            <w:r>
              <w:rPr>
                <w:b w:val="0"/>
                <w:sz w:val="17"/>
              </w:rPr>
              <w:t>pay-001</w:t>
            </w:r>
          </w:p>
        </w:tc>
        <w:tc>
          <w:tcPr>
            <w:tcW w:type="dxa" w:w="2102"/>
            <w:vAlign w:val="center"/>
          </w:tcPr>
          <w:p>
            <w:r/>
            <w:r>
              <w:rPr>
                <w:b w:val="0"/>
                <w:sz w:val="17"/>
              </w:rPr>
              <w:t>TRACE_EVENT</w:t>
            </w:r>
          </w:p>
        </w:tc>
        <w:tc>
          <w:tcPr>
            <w:tcW w:type="dxa" w:w="2102"/>
            <w:vAlign w:val="center"/>
          </w:tcPr>
          <w:p>
            <w:r/>
            <w:r>
              <w:rPr>
                <w:b w:val="0"/>
                <w:sz w:val="17"/>
              </w:rPr>
              <w:t>Trace context only</w:t>
            </w:r>
          </w:p>
        </w:tc>
      </w:tr>
      <w:tr>
        <w:tc>
          <w:tcPr>
            <w:tcW w:type="dxa" w:w="2102"/>
            <w:vAlign w:val="center"/>
          </w:tcPr>
          <w:p>
            <w:r/>
            <w:r>
              <w:rPr>
                <w:b w:val="0"/>
                <w:sz w:val="17"/>
              </w:rPr>
              <w:t>5</w:t>
            </w:r>
          </w:p>
        </w:tc>
        <w:tc>
          <w:tcPr>
            <w:tcW w:type="dxa" w:w="2102"/>
            <w:vAlign w:val="center"/>
          </w:tcPr>
          <w:p>
            <w:r/>
            <w:r>
              <w:rPr>
                <w:b w:val="0"/>
                <w:sz w:val="17"/>
              </w:rPr>
              <w:t>request_sent</w:t>
            </w:r>
          </w:p>
        </w:tc>
        <w:tc>
          <w:tcPr>
            <w:tcW w:type="dxa" w:w="2102"/>
            <w:vAlign w:val="center"/>
          </w:tcPr>
          <w:p>
            <w:r/>
            <w:r>
              <w:rPr>
                <w:b w:val="0"/>
                <w:sz w:val="17"/>
              </w:rPr>
              <w:t>profile-002</w:t>
            </w:r>
          </w:p>
        </w:tc>
        <w:tc>
          <w:tcPr>
            <w:tcW w:type="dxa" w:w="2102"/>
            <w:vAlign w:val="center"/>
          </w:tcPr>
          <w:p>
            <w:r/>
            <w:r>
              <w:rPr>
                <w:b w:val="0"/>
                <w:sz w:val="17"/>
              </w:rPr>
              <w:t>FIRST_USE</w:t>
            </w:r>
          </w:p>
        </w:tc>
        <w:tc>
          <w:tcPr>
            <w:tcW w:type="dxa" w:w="2102"/>
            <w:vAlign w:val="center"/>
          </w:tcPr>
          <w:p>
            <w:r/>
            <w:r>
              <w:rPr>
                <w:b w:val="0"/>
                <w:sz w:val="17"/>
              </w:rPr>
              <w:t>New key</w:t>
            </w:r>
          </w:p>
        </w:tc>
      </w:tr>
      <w:tr>
        <w:tc>
          <w:tcPr>
            <w:tcW w:type="dxa" w:w="2102"/>
            <w:vAlign w:val="center"/>
          </w:tcPr>
          <w:p>
            <w:r/>
            <w:r>
              <w:rPr>
                <w:b w:val="0"/>
                <w:sz w:val="17"/>
              </w:rPr>
              <w:t>6</w:t>
            </w:r>
          </w:p>
        </w:tc>
        <w:tc>
          <w:tcPr>
            <w:tcW w:type="dxa" w:w="2102"/>
            <w:vAlign w:val="center"/>
          </w:tcPr>
          <w:p>
            <w:r/>
            <w:r>
              <w:rPr>
                <w:b w:val="0"/>
                <w:sz w:val="17"/>
              </w:rPr>
              <w:t>response_received</w:t>
            </w:r>
          </w:p>
        </w:tc>
        <w:tc>
          <w:tcPr>
            <w:tcW w:type="dxa" w:w="2102"/>
            <w:vAlign w:val="center"/>
          </w:tcPr>
          <w:p>
            <w:r/>
            <w:r>
              <w:rPr>
                <w:b w:val="0"/>
                <w:sz w:val="17"/>
              </w:rPr>
              <w:t>profile-002</w:t>
            </w:r>
          </w:p>
        </w:tc>
        <w:tc>
          <w:tcPr>
            <w:tcW w:type="dxa" w:w="2102"/>
            <w:vAlign w:val="center"/>
          </w:tcPr>
          <w:p>
            <w:r/>
            <w:r>
              <w:rPr>
                <w:b w:val="0"/>
                <w:sz w:val="17"/>
              </w:rPr>
              <w:t>TRACE_EVENT</w:t>
            </w:r>
          </w:p>
        </w:tc>
        <w:tc>
          <w:tcPr>
            <w:tcW w:type="dxa" w:w="2102"/>
            <w:vAlign w:val="center"/>
          </w:tcPr>
          <w:p>
            <w:r/>
            <w:r>
              <w:rPr>
                <w:b w:val="0"/>
                <w:sz w:val="17"/>
              </w:rPr>
              <w:t>Trace context only</w:t>
            </w:r>
          </w:p>
        </w:tc>
      </w:tr>
      <w:tr>
        <w:tc>
          <w:tcPr>
            <w:tcW w:type="dxa" w:w="2102"/>
            <w:vAlign w:val="center"/>
            <w:shd w:fill="FCE4D6"/>
          </w:tcPr>
          <w:p>
            <w:r/>
            <w:r>
              <w:rPr>
                <w:b w:val="0"/>
                <w:sz w:val="17"/>
              </w:rPr>
              <w:t>7</w:t>
            </w:r>
          </w:p>
        </w:tc>
        <w:tc>
          <w:tcPr>
            <w:tcW w:type="dxa" w:w="2102"/>
            <w:vAlign w:val="center"/>
            <w:shd w:fill="FCE4D6"/>
          </w:tcPr>
          <w:p>
            <w:r/>
            <w:r>
              <w:rPr>
                <w:b w:val="0"/>
                <w:sz w:val="17"/>
              </w:rPr>
              <w:t>request_sent</w:t>
            </w:r>
          </w:p>
        </w:tc>
        <w:tc>
          <w:tcPr>
            <w:tcW w:type="dxa" w:w="2102"/>
            <w:vAlign w:val="center"/>
            <w:shd w:fill="FCE4D6"/>
          </w:tcPr>
          <w:p>
            <w:r/>
            <w:r>
              <w:rPr>
                <w:b w:val="0"/>
                <w:sz w:val="17"/>
              </w:rPr>
              <w:t>pay-001</w:t>
            </w:r>
          </w:p>
        </w:tc>
        <w:tc>
          <w:tcPr>
            <w:tcW w:type="dxa" w:w="2102"/>
            <w:vAlign w:val="center"/>
            <w:shd w:fill="FCE4D6"/>
          </w:tcPr>
          <w:p>
            <w:r/>
            <w:r>
              <w:rPr>
                <w:b w:val="0"/>
                <w:sz w:val="17"/>
              </w:rPr>
              <w:t>COLLISION</w:t>
            </w:r>
          </w:p>
        </w:tc>
        <w:tc>
          <w:tcPr>
            <w:tcW w:type="dxa" w:w="2102"/>
            <w:vAlign w:val="center"/>
            <w:shd w:fill="FCE4D6"/>
          </w:tcPr>
          <w:p>
            <w:r/>
            <w:r>
              <w:rPr>
                <w:b w:val="0"/>
                <w:sz w:val="17"/>
              </w:rPr>
              <w:t>Same key + different payload</w:t>
            </w:r>
          </w:p>
        </w:tc>
      </w:tr>
      <w:tr>
        <w:tc>
          <w:tcPr>
            <w:tcW w:type="dxa" w:w="2102"/>
            <w:vAlign w:val="center"/>
          </w:tcPr>
          <w:p>
            <w:r/>
            <w:r>
              <w:rPr>
                <w:b w:val="0"/>
                <w:sz w:val="17"/>
              </w:rPr>
              <w:t>8</w:t>
            </w:r>
          </w:p>
        </w:tc>
        <w:tc>
          <w:tcPr>
            <w:tcW w:type="dxa" w:w="2102"/>
            <w:vAlign w:val="center"/>
          </w:tcPr>
          <w:p>
            <w:r/>
            <w:r>
              <w:rPr>
                <w:b w:val="0"/>
                <w:sz w:val="17"/>
              </w:rPr>
              <w:t>response_received</w:t>
            </w:r>
          </w:p>
        </w:tc>
        <w:tc>
          <w:tcPr>
            <w:tcW w:type="dxa" w:w="2102"/>
            <w:vAlign w:val="center"/>
          </w:tcPr>
          <w:p>
            <w:r/>
            <w:r>
              <w:rPr>
                <w:b w:val="0"/>
                <w:sz w:val="17"/>
              </w:rPr>
              <w:t>pay-001</w:t>
            </w:r>
          </w:p>
        </w:tc>
        <w:tc>
          <w:tcPr>
            <w:tcW w:type="dxa" w:w="2102"/>
            <w:vAlign w:val="center"/>
          </w:tcPr>
          <w:p>
            <w:r/>
            <w:r>
              <w:rPr>
                <w:b w:val="0"/>
                <w:sz w:val="17"/>
              </w:rPr>
              <w:t>TRACE_EVENT</w:t>
            </w:r>
          </w:p>
        </w:tc>
        <w:tc>
          <w:tcPr>
            <w:tcW w:type="dxa" w:w="2102"/>
            <w:vAlign w:val="center"/>
          </w:tcPr>
          <w:p>
            <w:r/>
            <w:r>
              <w:rPr>
                <w:b w:val="0"/>
                <w:sz w:val="17"/>
              </w:rPr>
              <w:t>Trace context only</w:t>
            </w:r>
          </w:p>
        </w:tc>
      </w:tr>
    </w:tbl>
    <w:p>
      <w:pPr>
        <w:spacing w:before="100" w:after="60"/>
      </w:pPr>
      <w:r>
        <w:rPr>
          <w:b/>
          <w:sz w:val="22"/>
        </w:rPr>
        <w:t>5. Test Findings at a Glance</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retry_summary.png"/>
                    <pic:cNvPicPr/>
                  </pic:nvPicPr>
                  <pic:blipFill>
                    <a:blip r:embed="rId9"/>
                    <a:stretch>
                      <a:fillRect/>
                    </a:stretch>
                  </pic:blipFill>
                  <pic:spPr>
                    <a:xfrm>
                      <a:off x="0" y="0"/>
                      <a:ext cx="5120640" cy="3200400"/>
                    </a:xfrm>
                    <a:prstGeom prst="rect"/>
                  </pic:spPr>
                </pic:pic>
              </a:graphicData>
            </a:graphic>
          </wp:inline>
        </w:drawing>
      </w:r>
    </w:p>
    <w:p>
      <w:pPr>
        <w:spacing w:after="80" w:line="252" w:lineRule="auto"/>
      </w:pPr>
      <w:r>
        <w:rPr>
          <w:sz w:val="18"/>
        </w:rPr>
        <w:t>The checker classified 2 event(s) as first use, 1 as safe retries, and 1 as collision(s). 4 additional events were retained as timeout/response trace context.</w:t>
      </w:r>
    </w:p>
    <w:p>
      <w:pPr>
        <w:spacing w:before="100" w:after="60"/>
      </w:pPr>
      <w:r>
        <w:rPr>
          <w:b/>
          <w:sz w:val="22"/>
        </w:rPr>
        <w:t>6. Collision Detail</w:t>
      </w:r>
    </w:p>
    <w:p>
      <w:pPr>
        <w:spacing w:after="80" w:line="252" w:lineRule="auto"/>
      </w:pPr>
      <w:r>
        <w:rPr>
          <w:sz w:val="18"/>
        </w:rPr>
        <w:t>Key 'pay-001' was originally associated with event 1. At event 7, the same key was reused with different request data.</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28"/>
        <w:gridCol w:w="2628"/>
        <w:gridCol w:w="2628"/>
        <w:gridCol w:w="2628"/>
      </w:tblGrid>
      <w:tr>
        <w:tc>
          <w:tcPr>
            <w:tcW w:type="dxa" w:w="2628"/>
            <w:vAlign w:val="center"/>
            <w:shd w:fill="F4CCCC"/>
          </w:tcPr>
          <w:p>
            <w:r/>
            <w:r>
              <w:rPr>
                <w:b/>
                <w:sz w:val="17"/>
              </w:rPr>
              <w:t>Idempotency key</w:t>
            </w:r>
          </w:p>
        </w:tc>
        <w:tc>
          <w:tcPr>
            <w:tcW w:type="dxa" w:w="2628"/>
            <w:vAlign w:val="center"/>
            <w:shd w:fill="F4CCCC"/>
          </w:tcPr>
          <w:p>
            <w:r/>
            <w:r>
              <w:rPr>
                <w:b/>
                <w:sz w:val="17"/>
              </w:rPr>
              <w:t>Original value</w:t>
            </w:r>
          </w:p>
        </w:tc>
        <w:tc>
          <w:tcPr>
            <w:tcW w:type="dxa" w:w="2628"/>
            <w:vAlign w:val="center"/>
            <w:shd w:fill="F4CCCC"/>
          </w:tcPr>
          <w:p>
            <w:r/>
            <w:r>
              <w:rPr>
                <w:b/>
                <w:sz w:val="17"/>
              </w:rPr>
              <w:t>New value</w:t>
            </w:r>
          </w:p>
        </w:tc>
        <w:tc>
          <w:tcPr>
            <w:tcW w:type="dxa" w:w="2628"/>
            <w:vAlign w:val="center"/>
            <w:shd w:fill="F4CCCC"/>
          </w:tcPr>
          <w:p>
            <w:r/>
            <w:r>
              <w:rPr>
                <w:b/>
                <w:sz w:val="17"/>
              </w:rPr>
              <w:t>Changed field</w:t>
            </w:r>
          </w:p>
        </w:tc>
      </w:tr>
      <w:tr>
        <w:tc>
          <w:tcPr>
            <w:tcW w:type="dxa" w:w="2628"/>
            <w:vAlign w:val="center"/>
          </w:tcPr>
          <w:p>
            <w:r/>
            <w:r>
              <w:rPr>
                <w:b w:val="0"/>
                <w:sz w:val="17"/>
              </w:rPr>
              <w:t>pay-001</w:t>
            </w:r>
          </w:p>
        </w:tc>
        <w:tc>
          <w:tcPr>
            <w:tcW w:type="dxa" w:w="2628"/>
            <w:vAlign w:val="center"/>
          </w:tcPr>
          <w:p>
            <w:r/>
            <w:r>
              <w:rPr>
                <w:b w:val="0"/>
                <w:sz w:val="17"/>
              </w:rPr>
              <w:t>100</w:t>
            </w:r>
          </w:p>
        </w:tc>
        <w:tc>
          <w:tcPr>
            <w:tcW w:type="dxa" w:w="2628"/>
            <w:vAlign w:val="center"/>
          </w:tcPr>
          <w:p>
            <w:r/>
            <w:r>
              <w:rPr>
                <w:b w:val="0"/>
                <w:sz w:val="17"/>
              </w:rPr>
              <w:t>500</w:t>
            </w:r>
          </w:p>
        </w:tc>
        <w:tc>
          <w:tcPr>
            <w:tcW w:type="dxa" w:w="2628"/>
            <w:vAlign w:val="center"/>
          </w:tcPr>
          <w:p>
            <w:r/>
            <w:r>
              <w:rPr>
                <w:b w:val="0"/>
                <w:sz w:val="17"/>
              </w:rPr>
              <w:t>amount</w:t>
            </w:r>
          </w:p>
        </w:tc>
      </w:tr>
    </w:tbl>
    <w:p>
      <w:pPr>
        <w:spacing w:before="100" w:after="60"/>
      </w:pPr>
      <w:r>
        <w:rPr>
          <w:b/>
          <w:sz w:val="22"/>
        </w:rPr>
        <w:t>7. Why This Matters</w:t>
      </w:r>
    </w:p>
    <w:p>
      <w:pPr>
        <w:spacing w:after="80" w:line="252" w:lineRule="auto"/>
      </w:pPr>
      <w:r>
        <w:rPr>
          <w:sz w:val="18"/>
        </w:rPr>
        <w:t>An idempotency key is intended to identify one logical operation across retries. Reusing that key with different request data creates ambiguity about which operation the key represents.</w:t>
      </w:r>
    </w:p>
    <w:p>
      <w:pPr>
        <w:spacing w:after="80" w:line="252" w:lineRule="auto"/>
      </w:pPr>
      <w:r>
        <w:rPr>
          <w:sz w:val="18"/>
        </w:rPr>
        <w:t>In a real API environment, this could result in rejected requests, incorrect deduplication or inconsistent application behaviour, depending on how the API implements idempotency. The checker therefore treats same-key/different-payload reuse as a reliability risk rather than assuming that it is a normal retry.</w:t>
      </w:r>
    </w:p>
    <w:p>
      <w:pPr>
        <w:spacing w:before="100" w:after="60"/>
      </w:pPr>
      <w:r>
        <w:rPr>
          <w:b/>
          <w:sz w:val="22"/>
        </w:rPr>
        <w:t>8. Recommendation</w:t>
      </w:r>
    </w:p>
    <w:p>
      <w:pPr>
        <w:spacing w:after="80" w:line="252" w:lineRule="auto"/>
      </w:pPr>
      <w:r>
        <w:rPr>
          <w:sz w:val="18"/>
        </w:rPr>
        <w:t>REVIEW REQUIRED. The prototype correctly detected the deliberate collision. The affected key and request sequence should be investigated before considering the behaviour safe.</w:t>
      </w:r>
    </w:p>
    <w:p>
      <w:pPr>
        <w:spacing w:after="80" w:line="252" w:lineRule="auto"/>
      </w:pPr>
      <w:r>
        <w:rPr>
          <w:sz w:val="18"/>
        </w:rPr>
        <w:t>The checker is suitable as a local trace-analysis prototype. Before production use, it should be tested against additional cases such as multiple retries, missing keys, malformed payloads, different field ordering and repeated collisions.</w:t>
      </w:r>
    </w:p>
    <w:p>
      <w:pPr>
        <w:spacing w:before="100" w:after="60"/>
      </w:pPr>
      <w:r>
        <w:rPr>
          <w:b/>
          <w:sz w:val="22"/>
        </w:rPr>
        <w:t>9. Scope and Limitations</w:t>
      </w:r>
    </w:p>
    <w:p>
      <w:pPr>
        <w:spacing w:after="80" w:line="252" w:lineRule="auto"/>
      </w:pPr>
      <w:r>
        <w:rPr>
          <w:sz w:val="18"/>
        </w:rPr>
        <w:t>This exercise analyses a small fictional trace locally. It does not call an API, modify application data or validate the behaviour of a real production idempotency implementation. The findings demonstrate the checker's detection logic rather than a production incident.</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