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47374" w14:textId="77777777" w:rsidR="00F04712" w:rsidRDefault="00000000">
      <w:pPr>
        <w:pStyle w:val="Heading1"/>
        <w:ind w:left="-5"/>
      </w:pPr>
      <w:r>
        <w:t>Guidelines for Partnerships</w:t>
      </w:r>
      <w:r>
        <w:rPr>
          <w:b w:val="0"/>
        </w:rPr>
        <w:t xml:space="preserve"> </w:t>
      </w:r>
    </w:p>
    <w:p w14:paraId="13BE15CA" w14:textId="77777777" w:rsidR="00F04712" w:rsidRDefault="00000000">
      <w:pPr>
        <w:spacing w:after="219"/>
        <w:ind w:right="30"/>
      </w:pPr>
      <w:r>
        <w:t xml:space="preserve">The following guidelines outline the steps, criteria, and expectations for establishing and maintaining partnerships through our Global Engagement and Partnerships Office (GEPO). These guidelines aim to foster mutual growth, collaboration, and excellence. </w:t>
      </w:r>
    </w:p>
    <w:p w14:paraId="7E56A864" w14:textId="77777777" w:rsidR="00F04712" w:rsidRDefault="00000000">
      <w:pPr>
        <w:spacing w:after="102" w:line="259" w:lineRule="auto"/>
        <w:ind w:left="0" w:right="0" w:firstLine="0"/>
        <w:jc w:val="right"/>
      </w:pPr>
      <w:r>
        <w:rPr>
          <w:noProof/>
        </w:rPr>
        <mc:AlternateContent>
          <mc:Choice Requires="wpg">
            <w:drawing>
              <wp:inline distT="0" distB="0" distL="0" distR="0" wp14:anchorId="30DB4F70" wp14:editId="6883402B">
                <wp:extent cx="5732526" cy="19304"/>
                <wp:effectExtent l="0" t="0" r="0" b="0"/>
                <wp:docPr id="1889" name="Group 1889"/>
                <wp:cNvGraphicFramePr/>
                <a:graphic xmlns:a="http://schemas.openxmlformats.org/drawingml/2006/main">
                  <a:graphicData uri="http://schemas.microsoft.com/office/word/2010/wordprocessingGroup">
                    <wpg:wgp>
                      <wpg:cNvGrpSpPr/>
                      <wpg:grpSpPr>
                        <a:xfrm>
                          <a:off x="0" y="0"/>
                          <a:ext cx="5732526" cy="19304"/>
                          <a:chOff x="0" y="0"/>
                          <a:chExt cx="5732526" cy="19304"/>
                        </a:xfrm>
                      </wpg:grpSpPr>
                      <wps:wsp>
                        <wps:cNvPr id="2479" name="Shape 2479"/>
                        <wps:cNvSpPr/>
                        <wps:spPr>
                          <a:xfrm>
                            <a:off x="0" y="0"/>
                            <a:ext cx="5731510" cy="19050"/>
                          </a:xfrm>
                          <a:custGeom>
                            <a:avLst/>
                            <a:gdLst/>
                            <a:ahLst/>
                            <a:cxnLst/>
                            <a:rect l="0" t="0" r="0" b="0"/>
                            <a:pathLst>
                              <a:path w="5731510" h="19050">
                                <a:moveTo>
                                  <a:pt x="0" y="0"/>
                                </a:moveTo>
                                <a:lnTo>
                                  <a:pt x="5731510" y="0"/>
                                </a:lnTo>
                                <a:lnTo>
                                  <a:pt x="573151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0" name="Shape 2480"/>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1" name="Shape 2481"/>
                        <wps:cNvSpPr/>
                        <wps:spPr>
                          <a:xfrm>
                            <a:off x="3048" y="254"/>
                            <a:ext cx="5726431" cy="9144"/>
                          </a:xfrm>
                          <a:custGeom>
                            <a:avLst/>
                            <a:gdLst/>
                            <a:ahLst/>
                            <a:cxnLst/>
                            <a:rect l="0" t="0" r="0" b="0"/>
                            <a:pathLst>
                              <a:path w="5726431" h="9144">
                                <a:moveTo>
                                  <a:pt x="0" y="0"/>
                                </a:moveTo>
                                <a:lnTo>
                                  <a:pt x="5726431" y="0"/>
                                </a:lnTo>
                                <a:lnTo>
                                  <a:pt x="572643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2" name="Shape 2482"/>
                        <wps:cNvSpPr/>
                        <wps:spPr>
                          <a:xfrm>
                            <a:off x="5729478"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3" name="Shape 2483"/>
                        <wps:cNvSpPr/>
                        <wps:spPr>
                          <a:xfrm>
                            <a:off x="0" y="3302"/>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484" name="Shape 2484"/>
                        <wps:cNvSpPr/>
                        <wps:spPr>
                          <a:xfrm>
                            <a:off x="5729478" y="3302"/>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5" name="Shape 2485"/>
                        <wps:cNvSpPr/>
                        <wps:spPr>
                          <a:xfrm>
                            <a:off x="0"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6" name="Shape 2486"/>
                        <wps:cNvSpPr/>
                        <wps:spPr>
                          <a:xfrm>
                            <a:off x="3048" y="16256"/>
                            <a:ext cx="5726431" cy="9144"/>
                          </a:xfrm>
                          <a:custGeom>
                            <a:avLst/>
                            <a:gdLst/>
                            <a:ahLst/>
                            <a:cxnLst/>
                            <a:rect l="0" t="0" r="0" b="0"/>
                            <a:pathLst>
                              <a:path w="5726431" h="9144">
                                <a:moveTo>
                                  <a:pt x="0" y="0"/>
                                </a:moveTo>
                                <a:lnTo>
                                  <a:pt x="5726431" y="0"/>
                                </a:lnTo>
                                <a:lnTo>
                                  <a:pt x="572643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487" name="Shape 2487"/>
                        <wps:cNvSpPr/>
                        <wps:spPr>
                          <a:xfrm>
                            <a:off x="5729478"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889" style="width:451.38pt;height:1.52002pt;mso-position-horizontal-relative:char;mso-position-vertical-relative:line" coordsize="57325,193">
                <v:shape id="Shape 2488" style="position:absolute;width:57315;height:190;left:0;top:0;" coordsize="5731510,19050" path="m0,0l5731510,0l5731510,19050l0,19050l0,0">
                  <v:stroke weight="0pt" endcap="flat" joinstyle="miter" miterlimit="10" on="false" color="#000000" opacity="0"/>
                  <v:fill on="true" color="#a0a0a0"/>
                </v:shape>
                <v:shape id="Shape 2489" style="position:absolute;width:91;height:91;left:0;top:2;" coordsize="9144,9144" path="m0,0l9144,0l9144,9144l0,9144l0,0">
                  <v:stroke weight="0pt" endcap="flat" joinstyle="miter" miterlimit="10" on="false" color="#000000" opacity="0"/>
                  <v:fill on="true" color="#a0a0a0"/>
                </v:shape>
                <v:shape id="Shape 2490" style="position:absolute;width:57264;height:91;left:30;top:2;" coordsize="5726431,9144" path="m0,0l5726431,0l5726431,9144l0,9144l0,0">
                  <v:stroke weight="0pt" endcap="flat" joinstyle="miter" miterlimit="10" on="false" color="#000000" opacity="0"/>
                  <v:fill on="true" color="#a0a0a0"/>
                </v:shape>
                <v:shape id="Shape 2491" style="position:absolute;width:91;height:91;left:57294;top:2;" coordsize="9144,9144" path="m0,0l9144,0l9144,9144l0,9144l0,0">
                  <v:stroke weight="0pt" endcap="flat" joinstyle="miter" miterlimit="10" on="false" color="#000000" opacity="0"/>
                  <v:fill on="true" color="#a0a0a0"/>
                </v:shape>
                <v:shape id="Shape 2492" style="position:absolute;width:91;height:129;left:0;top:33;" coordsize="9144,12954" path="m0,0l9144,0l9144,12954l0,12954l0,0">
                  <v:stroke weight="0pt" endcap="flat" joinstyle="miter" miterlimit="10" on="false" color="#000000" opacity="0"/>
                  <v:fill on="true" color="#a0a0a0"/>
                </v:shape>
                <v:shape id="Shape 2493" style="position:absolute;width:91;height:129;left:57294;top:33;" coordsize="9144,12954" path="m0,0l9144,0l9144,12954l0,12954l0,0">
                  <v:stroke weight="0pt" endcap="flat" joinstyle="miter" miterlimit="10" on="false" color="#000000" opacity="0"/>
                  <v:fill on="true" color="#e3e3e3"/>
                </v:shape>
                <v:shape id="Shape 2494" style="position:absolute;width:91;height:91;left:0;top:162;" coordsize="9144,9144" path="m0,0l9144,0l9144,9144l0,9144l0,0">
                  <v:stroke weight="0pt" endcap="flat" joinstyle="miter" miterlimit="10" on="false" color="#000000" opacity="0"/>
                  <v:fill on="true" color="#e3e3e3"/>
                </v:shape>
                <v:shape id="Shape 2495" style="position:absolute;width:57264;height:91;left:30;top:162;" coordsize="5726431,9144" path="m0,0l5726431,0l5726431,9144l0,9144l0,0">
                  <v:stroke weight="0pt" endcap="flat" joinstyle="miter" miterlimit="10" on="false" color="#000000" opacity="0"/>
                  <v:fill on="true" color="#e3e3e3"/>
                </v:shape>
                <v:shape id="Shape 2496" style="position:absolute;width:91;height:91;left:57294;top:162;" coordsize="9144,9144" path="m0,0l9144,0l9144,9144l0,9144l0,0">
                  <v:stroke weight="0pt" endcap="flat" joinstyle="miter" miterlimit="10" on="false" color="#000000" opacity="0"/>
                  <v:fill on="true" color="#e3e3e3"/>
                </v:shape>
              </v:group>
            </w:pict>
          </mc:Fallback>
        </mc:AlternateContent>
      </w:r>
      <w:r>
        <w:t xml:space="preserve"> </w:t>
      </w:r>
    </w:p>
    <w:p w14:paraId="5D870581" w14:textId="77777777" w:rsidR="00F04712" w:rsidRDefault="00000000">
      <w:pPr>
        <w:pStyle w:val="Heading1"/>
        <w:ind w:left="-5"/>
      </w:pPr>
      <w:r>
        <w:t xml:space="preserve">1. Eligibility Criteria </w:t>
      </w:r>
    </w:p>
    <w:p w14:paraId="1FEB0566" w14:textId="77777777" w:rsidR="00F04712" w:rsidRDefault="00000000">
      <w:pPr>
        <w:ind w:right="30"/>
      </w:pPr>
      <w:r>
        <w:t xml:space="preserve">Organizations interested in partnering with GEPO should meet the following criteria: </w:t>
      </w:r>
    </w:p>
    <w:p w14:paraId="163AE43D" w14:textId="77777777" w:rsidR="00F04712" w:rsidRDefault="00000000">
      <w:pPr>
        <w:numPr>
          <w:ilvl w:val="0"/>
          <w:numId w:val="1"/>
        </w:numPr>
        <w:ind w:right="30" w:hanging="360"/>
      </w:pPr>
      <w:r>
        <w:rPr>
          <w:b/>
        </w:rPr>
        <w:t>Institution Type:</w:t>
      </w:r>
      <w:r>
        <w:t xml:space="preserve"> Accredited universities, research institutes, corporates, or NGOs with a proven track record in their domain. </w:t>
      </w:r>
    </w:p>
    <w:p w14:paraId="6C52A4E4" w14:textId="77777777" w:rsidR="00F04712" w:rsidRDefault="00000000">
      <w:pPr>
        <w:numPr>
          <w:ilvl w:val="0"/>
          <w:numId w:val="1"/>
        </w:numPr>
        <w:ind w:right="30" w:hanging="360"/>
      </w:pPr>
      <w:r>
        <w:rPr>
          <w:b/>
        </w:rPr>
        <w:t>Shared Goals:</w:t>
      </w:r>
      <w:r>
        <w:t xml:space="preserve"> Alignment with GEPO’s mission of fostering global collaboration and enhancing learning experiences. </w:t>
      </w:r>
    </w:p>
    <w:p w14:paraId="398CA987" w14:textId="77777777" w:rsidR="00F04712" w:rsidRDefault="00000000">
      <w:pPr>
        <w:numPr>
          <w:ilvl w:val="0"/>
          <w:numId w:val="1"/>
        </w:numPr>
        <w:ind w:right="30" w:hanging="360"/>
      </w:pPr>
      <w:r>
        <w:rPr>
          <w:b/>
        </w:rPr>
        <w:t>Ethical Standards:</w:t>
      </w:r>
      <w:r>
        <w:t xml:space="preserve"> Compliance with ethical practices, diversity, and inclusivity policies. </w:t>
      </w:r>
    </w:p>
    <w:p w14:paraId="64506CB1" w14:textId="77777777" w:rsidR="00F04712" w:rsidRDefault="00000000">
      <w:pPr>
        <w:pStyle w:val="Heading1"/>
        <w:ind w:left="-5"/>
      </w:pPr>
      <w:r>
        <w:t xml:space="preserve">2. Types of Partnerships </w:t>
      </w:r>
    </w:p>
    <w:p w14:paraId="7C66BB88" w14:textId="77777777" w:rsidR="00F04712" w:rsidRDefault="00000000">
      <w:pPr>
        <w:ind w:right="30"/>
      </w:pPr>
      <w:r>
        <w:t xml:space="preserve">We support the following types of collaborations: </w:t>
      </w:r>
    </w:p>
    <w:p w14:paraId="0C354C91" w14:textId="77777777" w:rsidR="00F04712" w:rsidRDefault="00000000">
      <w:pPr>
        <w:numPr>
          <w:ilvl w:val="0"/>
          <w:numId w:val="2"/>
        </w:numPr>
        <w:ind w:right="30" w:hanging="360"/>
      </w:pPr>
      <w:r>
        <w:rPr>
          <w:b/>
        </w:rPr>
        <w:t>Research Collaborations:</w:t>
      </w:r>
      <w:r>
        <w:t xml:space="preserve"> Joint projects, funding opportunities, and knowledge exchange. </w:t>
      </w:r>
    </w:p>
    <w:p w14:paraId="73C70966" w14:textId="77777777" w:rsidR="00F04712" w:rsidRDefault="00000000">
      <w:pPr>
        <w:numPr>
          <w:ilvl w:val="0"/>
          <w:numId w:val="2"/>
        </w:numPr>
        <w:ind w:right="30" w:hanging="360"/>
      </w:pPr>
      <w:r>
        <w:rPr>
          <w:b/>
        </w:rPr>
        <w:t>Student Exchange Programs:</w:t>
      </w:r>
      <w:r>
        <w:t xml:space="preserve"> Opportunities for students to study, intern, or work abroad. </w:t>
      </w:r>
    </w:p>
    <w:p w14:paraId="35C08D22" w14:textId="77777777" w:rsidR="00F04712" w:rsidRDefault="00000000">
      <w:pPr>
        <w:numPr>
          <w:ilvl w:val="0"/>
          <w:numId w:val="2"/>
        </w:numPr>
        <w:ind w:right="30" w:hanging="360"/>
      </w:pPr>
      <w:r>
        <w:rPr>
          <w:b/>
        </w:rPr>
        <w:t>Faculty Exchange Programs:</w:t>
      </w:r>
      <w:r>
        <w:t xml:space="preserve"> Teaching or research engagements for faculty members. </w:t>
      </w:r>
    </w:p>
    <w:p w14:paraId="36F32D97" w14:textId="77777777" w:rsidR="00F04712" w:rsidRDefault="00000000">
      <w:pPr>
        <w:numPr>
          <w:ilvl w:val="0"/>
          <w:numId w:val="2"/>
        </w:numPr>
        <w:ind w:right="30" w:hanging="360"/>
      </w:pPr>
      <w:r>
        <w:rPr>
          <w:b/>
        </w:rPr>
        <w:t>Corporate Partnerships:</w:t>
      </w:r>
      <w:r>
        <w:t xml:space="preserve"> Internships, sponsorships, and collaborative training programs. </w:t>
      </w:r>
    </w:p>
    <w:p w14:paraId="2A28C456" w14:textId="77777777" w:rsidR="00F04712" w:rsidRDefault="00000000">
      <w:pPr>
        <w:spacing w:after="160" w:line="259" w:lineRule="auto"/>
        <w:ind w:left="-5" w:right="0"/>
      </w:pPr>
      <w:r>
        <w:rPr>
          <w:b/>
        </w:rPr>
        <w:t xml:space="preserve">3. Steps to Establish a Partnership </w:t>
      </w:r>
    </w:p>
    <w:p w14:paraId="7900DFD8" w14:textId="77777777" w:rsidR="00F04712" w:rsidRDefault="00000000">
      <w:pPr>
        <w:pStyle w:val="Heading1"/>
        <w:ind w:left="-5"/>
      </w:pPr>
      <w:r>
        <w:t xml:space="preserve">Step 1: Initial Inquiry </w:t>
      </w:r>
    </w:p>
    <w:p w14:paraId="3198620C" w14:textId="77777777" w:rsidR="00F04712" w:rsidRDefault="00000000">
      <w:pPr>
        <w:ind w:right="30"/>
      </w:pPr>
      <w:r>
        <w:t xml:space="preserve">Submit a completed partnership inquiry form through our website, providing: </w:t>
      </w:r>
    </w:p>
    <w:p w14:paraId="3DF63483" w14:textId="77777777" w:rsidR="00F04712" w:rsidRDefault="00000000">
      <w:pPr>
        <w:numPr>
          <w:ilvl w:val="0"/>
          <w:numId w:val="3"/>
        </w:numPr>
        <w:ind w:right="30" w:hanging="360"/>
      </w:pPr>
      <w:r>
        <w:t xml:space="preserve">Organization details. </w:t>
      </w:r>
    </w:p>
    <w:p w14:paraId="29494A60" w14:textId="77777777" w:rsidR="00F04712" w:rsidRDefault="00000000">
      <w:pPr>
        <w:numPr>
          <w:ilvl w:val="0"/>
          <w:numId w:val="3"/>
        </w:numPr>
        <w:ind w:right="30" w:hanging="360"/>
      </w:pPr>
      <w:r>
        <w:t xml:space="preserve">Nature of the proposed partnership. </w:t>
      </w:r>
    </w:p>
    <w:p w14:paraId="7BB714F8" w14:textId="77777777" w:rsidR="00F04712" w:rsidRDefault="00000000">
      <w:pPr>
        <w:numPr>
          <w:ilvl w:val="0"/>
          <w:numId w:val="3"/>
        </w:numPr>
        <w:ind w:right="30" w:hanging="360"/>
      </w:pPr>
      <w:r>
        <w:t xml:space="preserve">Primary contact information. </w:t>
      </w:r>
    </w:p>
    <w:p w14:paraId="39AC74F7" w14:textId="77777777" w:rsidR="00F04712" w:rsidRDefault="00000000">
      <w:pPr>
        <w:pStyle w:val="Heading1"/>
        <w:ind w:left="-5"/>
      </w:pPr>
      <w:r>
        <w:t xml:space="preserve">Step 2: Proposal Submission </w:t>
      </w:r>
    </w:p>
    <w:p w14:paraId="280FFFC6" w14:textId="77777777" w:rsidR="00F04712" w:rsidRDefault="00000000">
      <w:pPr>
        <w:ind w:right="30"/>
      </w:pPr>
      <w:r>
        <w:t xml:space="preserve">Prepare a detailed proposal, including: </w:t>
      </w:r>
    </w:p>
    <w:p w14:paraId="08D412D2" w14:textId="77777777" w:rsidR="00F04712" w:rsidRDefault="00000000">
      <w:pPr>
        <w:numPr>
          <w:ilvl w:val="0"/>
          <w:numId w:val="4"/>
        </w:numPr>
        <w:ind w:right="30" w:firstLine="360"/>
      </w:pPr>
      <w:r>
        <w:t xml:space="preserve">Objectives and expected outcomes. </w:t>
      </w:r>
    </w:p>
    <w:p w14:paraId="4AE2A521" w14:textId="77777777" w:rsidR="00F04712" w:rsidRDefault="00000000">
      <w:pPr>
        <w:numPr>
          <w:ilvl w:val="0"/>
          <w:numId w:val="4"/>
        </w:numPr>
        <w:ind w:right="30" w:firstLine="360"/>
      </w:pPr>
      <w:r>
        <w:t xml:space="preserve">Resources required. </w:t>
      </w:r>
    </w:p>
    <w:p w14:paraId="4DD8F3E4" w14:textId="77777777" w:rsidR="00E419BD" w:rsidRDefault="00000000">
      <w:pPr>
        <w:numPr>
          <w:ilvl w:val="0"/>
          <w:numId w:val="4"/>
        </w:numPr>
        <w:spacing w:after="0" w:line="404" w:lineRule="auto"/>
        <w:ind w:right="30" w:firstLine="360"/>
      </w:pPr>
      <w:r>
        <w:t xml:space="preserve">Timeline and key milestones. </w:t>
      </w:r>
    </w:p>
    <w:p w14:paraId="73E5CE95" w14:textId="6EC6708E" w:rsidR="00F04712" w:rsidRDefault="00000000" w:rsidP="00E419BD">
      <w:pPr>
        <w:spacing w:after="0" w:line="404" w:lineRule="auto"/>
        <w:ind w:right="30"/>
      </w:pPr>
      <w:r>
        <w:rPr>
          <w:b/>
        </w:rPr>
        <w:t xml:space="preserve">Step 3: Review and Approval </w:t>
      </w:r>
    </w:p>
    <w:p w14:paraId="52332409" w14:textId="77777777" w:rsidR="00F04712" w:rsidRDefault="00000000">
      <w:pPr>
        <w:ind w:right="30"/>
      </w:pPr>
      <w:r>
        <w:t xml:space="preserve">Our team will: </w:t>
      </w:r>
    </w:p>
    <w:p w14:paraId="0EFA5B7E" w14:textId="77777777" w:rsidR="00F04712" w:rsidRDefault="00000000">
      <w:pPr>
        <w:numPr>
          <w:ilvl w:val="0"/>
          <w:numId w:val="4"/>
        </w:numPr>
        <w:ind w:right="30" w:firstLine="360"/>
      </w:pPr>
      <w:r>
        <w:lastRenderedPageBreak/>
        <w:t xml:space="preserve">Evaluate the proposal against eligibility criteria. </w:t>
      </w:r>
    </w:p>
    <w:p w14:paraId="3594ABAB" w14:textId="77777777" w:rsidR="00F04712" w:rsidRDefault="00000000">
      <w:pPr>
        <w:numPr>
          <w:ilvl w:val="0"/>
          <w:numId w:val="4"/>
        </w:numPr>
        <w:ind w:right="30" w:firstLine="360"/>
      </w:pPr>
      <w:r>
        <w:t xml:space="preserve">Schedule a discussion or meeting for clarifications. </w:t>
      </w:r>
    </w:p>
    <w:p w14:paraId="0F8A9A09" w14:textId="77777777" w:rsidR="00E419BD" w:rsidRDefault="00000000">
      <w:pPr>
        <w:numPr>
          <w:ilvl w:val="0"/>
          <w:numId w:val="4"/>
        </w:numPr>
        <w:spacing w:after="0" w:line="403" w:lineRule="auto"/>
        <w:ind w:right="30" w:firstLine="360"/>
      </w:pPr>
      <w:r>
        <w:t xml:space="preserve">Provide a formal response within 15 business days. </w:t>
      </w:r>
    </w:p>
    <w:p w14:paraId="238A901F" w14:textId="171158DB" w:rsidR="00F04712" w:rsidRDefault="00000000" w:rsidP="00E419BD">
      <w:pPr>
        <w:spacing w:after="0" w:line="403" w:lineRule="auto"/>
        <w:ind w:right="30"/>
      </w:pPr>
      <w:r>
        <w:rPr>
          <w:b/>
        </w:rPr>
        <w:t xml:space="preserve">Step 4: Memorandum of Understanding (MoU) </w:t>
      </w:r>
    </w:p>
    <w:p w14:paraId="15C7B64D" w14:textId="77777777" w:rsidR="00F04712" w:rsidRDefault="00000000">
      <w:pPr>
        <w:spacing w:after="2" w:line="417" w:lineRule="auto"/>
        <w:ind w:left="360" w:right="5910" w:hanging="360"/>
      </w:pPr>
      <w:r>
        <w:t xml:space="preserve">An MoU will be drafted, outlining: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Scope of the partnership. </w:t>
      </w:r>
    </w:p>
    <w:p w14:paraId="29A974ED" w14:textId="77777777" w:rsidR="00F04712" w:rsidRDefault="00000000">
      <w:pPr>
        <w:numPr>
          <w:ilvl w:val="0"/>
          <w:numId w:val="4"/>
        </w:numPr>
        <w:ind w:right="30" w:firstLine="360"/>
      </w:pPr>
      <w:r>
        <w:t xml:space="preserve">Roles and responsibilities. </w:t>
      </w:r>
    </w:p>
    <w:p w14:paraId="730971A0" w14:textId="77777777" w:rsidR="00E419BD" w:rsidRDefault="00000000">
      <w:pPr>
        <w:numPr>
          <w:ilvl w:val="0"/>
          <w:numId w:val="4"/>
        </w:numPr>
        <w:spacing w:after="17" w:line="403" w:lineRule="auto"/>
        <w:ind w:right="30" w:firstLine="360"/>
      </w:pPr>
      <w:r>
        <w:t xml:space="preserve">Terms and conditions. </w:t>
      </w:r>
    </w:p>
    <w:p w14:paraId="64F7707A" w14:textId="534401E4" w:rsidR="00F04712" w:rsidRDefault="00000000" w:rsidP="00E419BD">
      <w:pPr>
        <w:spacing w:after="17" w:line="403" w:lineRule="auto"/>
        <w:ind w:right="30"/>
      </w:pPr>
      <w:r>
        <w:rPr>
          <w:b/>
        </w:rPr>
        <w:t xml:space="preserve">Step 5: Implementation and Monitoring </w:t>
      </w:r>
      <w:r>
        <w:t xml:space="preserve">Post-MoU signing, both parties will: </w:t>
      </w:r>
    </w:p>
    <w:p w14:paraId="03A2E3FF" w14:textId="77777777" w:rsidR="00F04712" w:rsidRDefault="00000000">
      <w:pPr>
        <w:numPr>
          <w:ilvl w:val="0"/>
          <w:numId w:val="4"/>
        </w:numPr>
        <w:ind w:right="30" w:firstLine="360"/>
      </w:pPr>
      <w:r>
        <w:t xml:space="preserve">Develop an implementation plan. </w:t>
      </w:r>
    </w:p>
    <w:p w14:paraId="1B1161CA" w14:textId="77777777" w:rsidR="00F04712" w:rsidRDefault="00000000">
      <w:pPr>
        <w:numPr>
          <w:ilvl w:val="0"/>
          <w:numId w:val="4"/>
        </w:numPr>
        <w:ind w:right="30" w:firstLine="360"/>
      </w:pPr>
      <w:r>
        <w:t xml:space="preserve">Assign points of contact for coordination. </w:t>
      </w:r>
    </w:p>
    <w:p w14:paraId="0B7895ED" w14:textId="77777777" w:rsidR="00E419BD" w:rsidRDefault="00000000">
      <w:pPr>
        <w:numPr>
          <w:ilvl w:val="0"/>
          <w:numId w:val="4"/>
        </w:numPr>
        <w:spacing w:after="0" w:line="403" w:lineRule="auto"/>
        <w:ind w:right="30" w:firstLine="360"/>
      </w:pPr>
      <w:r>
        <w:t xml:space="preserve">Participate in regular reviews to ensure progress. </w:t>
      </w:r>
    </w:p>
    <w:p w14:paraId="04E1460C" w14:textId="4C58F33F" w:rsidR="00F04712" w:rsidRDefault="00000000" w:rsidP="00E419BD">
      <w:pPr>
        <w:spacing w:after="0" w:line="403" w:lineRule="auto"/>
        <w:ind w:right="30"/>
      </w:pPr>
      <w:r>
        <w:rPr>
          <w:b/>
        </w:rPr>
        <w:t xml:space="preserve">4. Key Expectations </w:t>
      </w:r>
    </w:p>
    <w:p w14:paraId="5148EEA9" w14:textId="77777777" w:rsidR="00F04712" w:rsidRDefault="00000000">
      <w:pPr>
        <w:ind w:right="30"/>
      </w:pPr>
      <w:r>
        <w:t xml:space="preserve">Both parties must: </w:t>
      </w:r>
    </w:p>
    <w:p w14:paraId="75F89AFD" w14:textId="77777777" w:rsidR="00F04712" w:rsidRDefault="00000000">
      <w:pPr>
        <w:numPr>
          <w:ilvl w:val="0"/>
          <w:numId w:val="4"/>
        </w:numPr>
        <w:ind w:right="30" w:firstLine="360"/>
      </w:pPr>
      <w:r>
        <w:t xml:space="preserve">Maintain open communication. </w:t>
      </w:r>
    </w:p>
    <w:p w14:paraId="5D5ED4B1" w14:textId="77777777" w:rsidR="00F04712" w:rsidRDefault="00000000">
      <w:pPr>
        <w:numPr>
          <w:ilvl w:val="0"/>
          <w:numId w:val="4"/>
        </w:numPr>
        <w:ind w:right="30" w:firstLine="360"/>
      </w:pPr>
      <w:r>
        <w:t xml:space="preserve">Respect agreed timelines and deliverables. </w:t>
      </w:r>
    </w:p>
    <w:p w14:paraId="1A128303" w14:textId="77777777" w:rsidR="00F04712" w:rsidRDefault="00000000">
      <w:pPr>
        <w:numPr>
          <w:ilvl w:val="0"/>
          <w:numId w:val="4"/>
        </w:numPr>
        <w:ind w:right="30" w:firstLine="360"/>
      </w:pPr>
      <w:r>
        <w:t xml:space="preserve">Ensure cultural sensitivity and inclusivity. </w:t>
      </w:r>
    </w:p>
    <w:p w14:paraId="5338D578" w14:textId="77777777" w:rsidR="00F04712" w:rsidRDefault="00000000">
      <w:pPr>
        <w:numPr>
          <w:ilvl w:val="0"/>
          <w:numId w:val="4"/>
        </w:numPr>
        <w:ind w:right="30" w:firstLine="360"/>
      </w:pPr>
      <w:r>
        <w:t xml:space="preserve">Share progress updates and success stories. </w:t>
      </w:r>
    </w:p>
    <w:p w14:paraId="46622C18" w14:textId="77777777" w:rsidR="00F04712" w:rsidRDefault="00000000">
      <w:pPr>
        <w:pStyle w:val="Heading1"/>
        <w:ind w:left="-5"/>
      </w:pPr>
      <w:r>
        <w:t xml:space="preserve">5. Resources and Support </w:t>
      </w:r>
    </w:p>
    <w:p w14:paraId="3F4263D8" w14:textId="77777777" w:rsidR="00F04712" w:rsidRDefault="00000000">
      <w:pPr>
        <w:ind w:right="30"/>
      </w:pPr>
      <w:r>
        <w:t xml:space="preserve">We provide the following support to partners: </w:t>
      </w:r>
    </w:p>
    <w:p w14:paraId="70FD281D" w14:textId="77777777" w:rsidR="00F04712" w:rsidRDefault="00000000">
      <w:pPr>
        <w:numPr>
          <w:ilvl w:val="0"/>
          <w:numId w:val="5"/>
        </w:numPr>
        <w:ind w:right="30" w:hanging="360"/>
      </w:pPr>
      <w:r>
        <w:t xml:space="preserve">Visa assistance for participants in exchange programs. </w:t>
      </w:r>
    </w:p>
    <w:p w14:paraId="3AF8C7C9" w14:textId="77777777" w:rsidR="00F04712" w:rsidRDefault="00000000">
      <w:pPr>
        <w:numPr>
          <w:ilvl w:val="0"/>
          <w:numId w:val="5"/>
        </w:numPr>
        <w:ind w:right="30" w:hanging="360"/>
      </w:pPr>
      <w:r>
        <w:t xml:space="preserve">Guidance on funding opportunities and grants. </w:t>
      </w:r>
    </w:p>
    <w:p w14:paraId="75154F8B" w14:textId="77777777" w:rsidR="00F04712" w:rsidRDefault="00000000">
      <w:pPr>
        <w:numPr>
          <w:ilvl w:val="0"/>
          <w:numId w:val="5"/>
        </w:numPr>
        <w:ind w:right="30" w:hanging="360"/>
      </w:pPr>
      <w:r>
        <w:t xml:space="preserve">Marketing and promotional support for joint events. </w:t>
      </w:r>
    </w:p>
    <w:p w14:paraId="4D998C6B" w14:textId="77777777" w:rsidR="00F04712" w:rsidRDefault="00000000">
      <w:pPr>
        <w:numPr>
          <w:ilvl w:val="0"/>
          <w:numId w:val="5"/>
        </w:numPr>
        <w:ind w:right="30" w:hanging="360"/>
      </w:pPr>
      <w:r>
        <w:t xml:space="preserve">Access to institutional resources like libraries and research labs. </w:t>
      </w:r>
    </w:p>
    <w:p w14:paraId="16ACC7B4" w14:textId="77777777" w:rsidR="00F04712" w:rsidRDefault="00000000">
      <w:pPr>
        <w:pStyle w:val="Heading1"/>
        <w:ind w:left="-5"/>
      </w:pPr>
      <w:r>
        <w:t xml:space="preserve">6. Termination Policy </w:t>
      </w:r>
    </w:p>
    <w:p w14:paraId="7D760E44" w14:textId="77777777" w:rsidR="00F04712" w:rsidRDefault="00000000">
      <w:pPr>
        <w:ind w:right="30"/>
      </w:pPr>
      <w:r>
        <w:t xml:space="preserve">Partnerships may be terminated under the following circumstances: </w:t>
      </w:r>
    </w:p>
    <w:p w14:paraId="350E4AA7" w14:textId="77777777" w:rsidR="00F04712" w:rsidRDefault="00000000">
      <w:pPr>
        <w:numPr>
          <w:ilvl w:val="0"/>
          <w:numId w:val="6"/>
        </w:numPr>
        <w:ind w:right="30" w:hanging="360"/>
      </w:pPr>
      <w:r>
        <w:t xml:space="preserve">Breach of MoU terms. </w:t>
      </w:r>
    </w:p>
    <w:p w14:paraId="0052BD91" w14:textId="77777777" w:rsidR="00F04712" w:rsidRDefault="00000000">
      <w:pPr>
        <w:numPr>
          <w:ilvl w:val="0"/>
          <w:numId w:val="6"/>
        </w:numPr>
        <w:ind w:right="30" w:hanging="360"/>
      </w:pPr>
      <w:r>
        <w:t xml:space="preserve">Lack of progress or mutual benefit. </w:t>
      </w:r>
    </w:p>
    <w:p w14:paraId="013F0F70" w14:textId="77777777" w:rsidR="00F04712" w:rsidRDefault="00000000">
      <w:pPr>
        <w:numPr>
          <w:ilvl w:val="0"/>
          <w:numId w:val="6"/>
        </w:numPr>
        <w:ind w:right="30" w:hanging="360"/>
      </w:pPr>
      <w:r>
        <w:t xml:space="preserve">Ethical violations or misconduct. </w:t>
      </w:r>
    </w:p>
    <w:p w14:paraId="6B3FF229" w14:textId="77777777" w:rsidR="00F04712" w:rsidRDefault="00000000">
      <w:pPr>
        <w:pStyle w:val="Heading1"/>
        <w:ind w:left="-5"/>
      </w:pPr>
      <w:r>
        <w:lastRenderedPageBreak/>
        <w:t xml:space="preserve">7. Contact Information </w:t>
      </w:r>
    </w:p>
    <w:p w14:paraId="0F39F922" w14:textId="77777777" w:rsidR="00F04712" w:rsidRDefault="00000000">
      <w:pPr>
        <w:ind w:right="30"/>
      </w:pPr>
      <w:r>
        <w:t xml:space="preserve">For further assistance, please contact: </w:t>
      </w:r>
    </w:p>
    <w:p w14:paraId="3E174B51" w14:textId="77777777" w:rsidR="00F04712" w:rsidRDefault="00000000">
      <w:pPr>
        <w:numPr>
          <w:ilvl w:val="0"/>
          <w:numId w:val="7"/>
        </w:numPr>
        <w:ind w:right="30" w:hanging="360"/>
      </w:pPr>
      <w:r>
        <w:rPr>
          <w:b/>
        </w:rPr>
        <w:t>Email:</w:t>
      </w:r>
      <w:r>
        <w:t xml:space="preserve"> partnerships@gepo.edu </w:t>
      </w:r>
    </w:p>
    <w:p w14:paraId="1EB14496" w14:textId="77777777" w:rsidR="00F04712" w:rsidRDefault="00000000">
      <w:pPr>
        <w:numPr>
          <w:ilvl w:val="0"/>
          <w:numId w:val="7"/>
        </w:numPr>
        <w:ind w:right="30" w:hanging="360"/>
      </w:pPr>
      <w:r>
        <w:rPr>
          <w:b/>
        </w:rPr>
        <w:t>Phone:</w:t>
      </w:r>
      <w:r>
        <w:t xml:space="preserve"> +1-234-567-8900 </w:t>
      </w:r>
    </w:p>
    <w:p w14:paraId="11A0E006" w14:textId="77777777" w:rsidR="00F04712" w:rsidRDefault="00000000">
      <w:pPr>
        <w:numPr>
          <w:ilvl w:val="0"/>
          <w:numId w:val="7"/>
        </w:numPr>
        <w:spacing w:after="161" w:line="259" w:lineRule="auto"/>
        <w:ind w:right="30" w:hanging="360"/>
      </w:pPr>
      <w:r>
        <w:rPr>
          <w:b/>
        </w:rPr>
        <w:t>Office Address:</w:t>
      </w:r>
      <w:r>
        <w:t xml:space="preserve"> 123 Global Lane, Collaboration City, World 56789 </w:t>
      </w:r>
    </w:p>
    <w:p w14:paraId="63BEFC20" w14:textId="77777777" w:rsidR="00F04712" w:rsidRDefault="00000000">
      <w:pPr>
        <w:spacing w:after="0" w:line="259" w:lineRule="auto"/>
        <w:ind w:left="0" w:right="0" w:firstLine="0"/>
      </w:pPr>
      <w:r>
        <w:t xml:space="preserve"> </w:t>
      </w:r>
    </w:p>
    <w:sectPr w:rsidR="00F04712">
      <w:pgSz w:w="11906" w:h="16838"/>
      <w:pgMar w:top="1485" w:right="1389" w:bottom="16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F6158"/>
    <w:multiLevelType w:val="hybridMultilevel"/>
    <w:tmpl w:val="54966598"/>
    <w:lvl w:ilvl="0" w:tplc="E80EED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BE6A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B031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40B1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F273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2CF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70FB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BE9E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00D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941506"/>
    <w:multiLevelType w:val="hybridMultilevel"/>
    <w:tmpl w:val="7570ABE4"/>
    <w:lvl w:ilvl="0" w:tplc="B802D6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5817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468C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0842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7E1F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BA36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EC4C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63E5C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609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D605939"/>
    <w:multiLevelType w:val="hybridMultilevel"/>
    <w:tmpl w:val="5912A3DE"/>
    <w:lvl w:ilvl="0" w:tplc="FAFEAD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040F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3A78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A429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BE7B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686C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F080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04D8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04D7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686A3F"/>
    <w:multiLevelType w:val="hybridMultilevel"/>
    <w:tmpl w:val="8A1A9356"/>
    <w:lvl w:ilvl="0" w:tplc="AF862C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DC3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5038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BA8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E24F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E81F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96B7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5C65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8CF8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C1C073E"/>
    <w:multiLevelType w:val="hybridMultilevel"/>
    <w:tmpl w:val="210E87BC"/>
    <w:lvl w:ilvl="0" w:tplc="9DD81936">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3A1E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D490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1EA3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DC2A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2C34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CA7A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8EC1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C25B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F6A75C5"/>
    <w:multiLevelType w:val="hybridMultilevel"/>
    <w:tmpl w:val="B7361914"/>
    <w:lvl w:ilvl="0" w:tplc="696E16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688D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E0CF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74F8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B29B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7EA7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70A2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4265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20C0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14838BB"/>
    <w:multiLevelType w:val="hybridMultilevel"/>
    <w:tmpl w:val="4E0E08AE"/>
    <w:lvl w:ilvl="0" w:tplc="368614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3ACF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66D8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A43C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72AE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6431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2845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E67B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C6A8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0270181">
    <w:abstractNumId w:val="6"/>
  </w:num>
  <w:num w:numId="2" w16cid:durableId="439498886">
    <w:abstractNumId w:val="2"/>
  </w:num>
  <w:num w:numId="3" w16cid:durableId="210122051">
    <w:abstractNumId w:val="1"/>
  </w:num>
  <w:num w:numId="4" w16cid:durableId="76901601">
    <w:abstractNumId w:val="4"/>
  </w:num>
  <w:num w:numId="5" w16cid:durableId="1376155729">
    <w:abstractNumId w:val="5"/>
  </w:num>
  <w:num w:numId="6" w16cid:durableId="1355615309">
    <w:abstractNumId w:val="3"/>
  </w:num>
  <w:num w:numId="7" w16cid:durableId="200535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712"/>
    <w:rsid w:val="00550623"/>
    <w:rsid w:val="00E419BD"/>
    <w:rsid w:val="00F04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1573"/>
  <w15:docId w15:val="{78613438-7F13-4EA2-B1FD-B1EBB7F5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0" w:lineRule="auto"/>
      <w:ind w:left="10" w:right="29" w:hanging="10"/>
    </w:pPr>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RANDHEER THAKUR</dc:creator>
  <cp:keywords/>
  <cp:lastModifiedBy>RANDHEER THAKUR</cp:lastModifiedBy>
  <cp:revision>2</cp:revision>
  <dcterms:created xsi:type="dcterms:W3CDTF">2025-01-19T17:48:00Z</dcterms:created>
  <dcterms:modified xsi:type="dcterms:W3CDTF">2025-01-19T17:48:00Z</dcterms:modified>
</cp:coreProperties>
</file>