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BANKING DATA ANALYTICS &amp; INSIGHTS</w:t>
        <w:br/>
      </w:r>
      <w:r>
        <w:rPr>
          <w:b/>
          <w:sz w:val="26"/>
        </w:rPr>
        <w:t>Exploratory Data Analysis and Power BI Dashboard</w:t>
      </w:r>
    </w:p>
    <w:p>
      <w:pPr>
        <w:jc w:val="center"/>
      </w:pPr>
      <w:r>
        <w:rPr>
          <w:i/>
        </w:rPr>
        <w:t>Python • Pandas • NumPy • Matplotlib • Seaborn • Power BI</w:t>
      </w:r>
    </w:p>
    <w:p>
      <w:pPr>
        <w:pStyle w:val="Heading1"/>
      </w:pPr>
      <w:r>
        <w:t>1. Executive Summary</w:t>
      </w:r>
    </w:p>
    <w:p>
      <w:r>
        <w:t>This project analyses a banking customer dataset to understand customer demographics, income segments, loan and deposit balances, account holdings, fee structures, loyalty classifications and risk-weighting distributions. Python notebooks perform data inspection, descriptive statistics, categorical analysis, missing-value checks, date parsing, numerical distribution analysis, correlation heatmaps and pairwise regression visualisations. A Power BI report and presentation communicate selected banking KPIs and segmentation observations.</w:t>
      </w:r>
    </w:p>
    <w:p>
      <w:r>
        <w:t>The notebook reports 3,000 rows and 25 columns. Its missing-value output shows zero nulls across the columns after the Income Band field is created. The supplied presentation reports total loans of $139.9M, deposits of $111.49M and fees of $5.17M. These presentation KPIs are reported as displayed and have not been reconciled against notebook totals or the PBIX measure definitions.</w:t>
      </w:r>
    </w:p>
    <w:p>
      <w:pPr>
        <w:pStyle w:val="Heading1"/>
      </w:pPr>
      <w:r>
        <w:t>2. Technology Stack</w:t>
      </w:r>
    </w:p>
    <w:p>
      <w:pPr>
        <w:pStyle w:val="ListBullet"/>
      </w:pPr>
      <w:r>
        <w:t>Python and Jupyter Notebook for repeatable analysis.</w:t>
      </w:r>
    </w:p>
    <w:p>
      <w:pPr>
        <w:pStyle w:val="ListBullet"/>
      </w:pPr>
      <w:r>
        <w:t>Pandas for CSV ingestion, data profiling, value counts, descriptive statistics, missing-value checks, income banding with pd.cut, and date conversion.</w:t>
      </w:r>
    </w:p>
    <w:p>
      <w:pPr>
        <w:pStyle w:val="ListBullet"/>
      </w:pPr>
      <w:r>
        <w:t>NumPy is imported in the notebooks; the saved analysis primarily shows Pandas and plotting operations.</w:t>
      </w:r>
    </w:p>
    <w:p>
      <w:pPr>
        <w:pStyle w:val="ListBullet"/>
      </w:pPr>
      <w:r>
        <w:t>Matplotlib and Seaborn for histograms/KDE plots, count plots, correlation heatmaps and regression plots.</w:t>
      </w:r>
    </w:p>
    <w:p>
      <w:pPr>
        <w:pStyle w:val="ListBullet"/>
      </w:pPr>
      <w:r>
        <w:t>Power BI for the interactive banking dashboard. The presentation shows KPI and segmentation visuals, but the supplied files do not expose enough detail to verify specific DAX formulas, Power Query transformations or relationship-model configuration.</w:t>
      </w:r>
    </w:p>
    <w:p>
      <w:pPr>
        <w:pStyle w:val="Heading1"/>
      </w:pPr>
      <w:r>
        <w:t>3. Dataset and Preparation</w:t>
      </w:r>
    </w:p>
    <w:p>
      <w:pPr>
        <w:pStyle w:val="ListBullet"/>
      </w:pPr>
      <w:r>
        <w:t>Shape: 3,000 records × 25 columns.</w:t>
      </w:r>
    </w:p>
    <w:p>
      <w:pPr>
        <w:pStyle w:val="ListBullet"/>
      </w:pPr>
      <w:r>
        <w:t>Fields cover customer identifiers/profile, age, location, joined-bank date, nationality, occupation, fee structure, loyalty classification, estimated income, superannuation savings, credit cards and balance, bank loans, bank deposits, checking/saving/foreign-currency accounts, business lending, properties owned, risk weighting and encoded identifiers.</w:t>
      </w:r>
    </w:p>
    <w:p>
      <w:pPr>
        <w:pStyle w:val="ListBullet"/>
      </w:pPr>
      <w:r>
        <w:t>Income bands are created using pd.cut with boundaries 0, 100,000, 300,000 and infinity. In banking EDA2, labels are Low, Mid and High; the earlier notebook labels the middle group Med.</w:t>
      </w:r>
    </w:p>
    <w:p>
      <w:pPr>
        <w:pStyle w:val="ListBullet"/>
      </w:pPr>
      <w:r>
        <w:t>The notebook parses Joined Bank using the format %d-%m-%Y and records the resulting dtype as datetime64[ns].</w:t>
      </w:r>
    </w:p>
    <w:p>
      <w:pPr>
        <w:pStyle w:val="ListBullet"/>
      </w:pPr>
      <w:r>
        <w:t>Missing-value check: every column has 0 null values in the saved output. No imputation is evidenced in the notebooks.</w:t>
      </w:r>
    </w:p>
    <w:p>
      <w:pPr>
        <w:pStyle w:val="ListBullet"/>
      </w:pPr>
      <w:r>
        <w:t>EDA uses frequency distributions for categorical columns and histograms/KDE plots for numerical columns.</w:t>
      </w:r>
    </w:p>
    <w:p>
      <w:pPr>
        <w:pStyle w:val="Heading1"/>
      </w:pPr>
      <w:r>
        <w:t>4. Exploratory Data Analysis Findings</w:t>
      </w:r>
    </w:p>
    <w:p>
      <w:pPr>
        <w:pStyle w:val="Heading2"/>
      </w:pPr>
      <w:r>
        <w:t>Customer categories</w:t>
      </w:r>
    </w:p>
    <w:p>
      <w:pPr>
        <w:pStyle w:val="ListBullet"/>
      </w:pPr>
      <w:r>
        <w:t>Nationality counts: European 1,309; Asian 754; American 507; Australian 254; African 176.</w:t>
      </w:r>
    </w:p>
    <w:p>
      <w:pPr>
        <w:pStyle w:val="ListBullet"/>
      </w:pPr>
      <w:r>
        <w:t>Income Band counts: Mid 1,517; Low 1,027; High 456.</w:t>
      </w:r>
    </w:p>
    <w:p>
      <w:pPr>
        <w:pStyle w:val="ListBullet"/>
      </w:pPr>
      <w:r>
        <w:t>Fee Structure: High 1,476; Mid 962; Low 562.</w:t>
      </w:r>
    </w:p>
    <w:p>
      <w:pPr>
        <w:pStyle w:val="ListBullet"/>
      </w:pPr>
      <w:r>
        <w:t>Loyalty Classification: Jade 1,331; Silver 767; Gold 585; Platinum 317.</w:t>
      </w:r>
    </w:p>
    <w:p>
      <w:pPr>
        <w:pStyle w:val="ListBullet"/>
      </w:pPr>
      <w:r>
        <w:t>Properties Owned: 2 properties 777; 1 property 776; 3 properties 742; 0 properties 705.</w:t>
      </w:r>
    </w:p>
    <w:p>
      <w:pPr>
        <w:pStyle w:val="ListBullet"/>
      </w:pPr>
      <w:r>
        <w:t>Risk Weighting: level 2 = 1,222; level 1 = 836; level 3 = 460; level 4 = 322; level 5 = 160.</w:t>
      </w:r>
    </w:p>
    <w:p>
      <w:pPr>
        <w:pStyle w:val="ListBullet"/>
      </w:pPr>
      <w:r>
        <w:t>Credit cards: 1 card = 1,922; 2 cards = 765; 3 cards = 313.</w:t>
      </w:r>
    </w:p>
    <w:p>
      <w:pPr>
        <w:pStyle w:val="Heading2"/>
      </w:pPr>
      <w:r>
        <w:t>Descriptive statistics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Variable</w:t>
            </w:r>
          </w:p>
        </w:tc>
        <w:tc>
          <w:tcPr>
            <w:tcW w:type="dxa" w:w="3408"/>
          </w:tcPr>
          <w:p>
            <w:r>
              <w:t>Mean</w:t>
            </w:r>
          </w:p>
        </w:tc>
        <w:tc>
          <w:tcPr>
            <w:tcW w:type="dxa" w:w="3408"/>
          </w:tcPr>
          <w:p>
            <w:r>
              <w:t>Median / Range</w:t>
            </w:r>
          </w:p>
        </w:tc>
      </w:tr>
      <w:tr>
        <w:tc>
          <w:tcPr>
            <w:tcW w:type="dxa" w:w="3408"/>
          </w:tcPr>
          <w:p>
            <w:r>
              <w:t>Age</w:t>
            </w:r>
          </w:p>
        </w:tc>
        <w:tc>
          <w:tcPr>
            <w:tcW w:type="dxa" w:w="3408"/>
          </w:tcPr>
          <w:p>
            <w:r>
              <w:t>51.04</w:t>
            </w:r>
          </w:p>
        </w:tc>
        <w:tc>
          <w:tcPr>
            <w:tcW w:type="dxa" w:w="3408"/>
          </w:tcPr>
          <w:p>
            <w:r>
              <w:t>Median 51; range 17–85</w:t>
            </w:r>
          </w:p>
        </w:tc>
      </w:tr>
      <w:tr>
        <w:tc>
          <w:tcPr>
            <w:tcW w:type="dxa" w:w="3408"/>
          </w:tcPr>
          <w:p>
            <w:r>
              <w:t>Estimated Income</w:t>
            </w:r>
          </w:p>
        </w:tc>
        <w:tc>
          <w:tcPr>
            <w:tcW w:type="dxa" w:w="3408"/>
          </w:tcPr>
          <w:p>
            <w:r>
              <w:t>171,305.03</w:t>
            </w:r>
          </w:p>
        </w:tc>
        <w:tc>
          <w:tcPr>
            <w:tcW w:type="dxa" w:w="3408"/>
          </w:tcPr>
          <w:p>
            <w:r>
              <w:t>Median 142,313.48; range 15,919.48–522,330.26</w:t>
            </w:r>
          </w:p>
        </w:tc>
      </w:tr>
      <w:tr>
        <w:tc>
          <w:tcPr>
            <w:tcW w:type="dxa" w:w="3408"/>
          </w:tcPr>
          <w:p>
            <w:r>
              <w:t>Superannuation Savings</w:t>
            </w:r>
          </w:p>
        </w:tc>
        <w:tc>
          <w:tcPr>
            <w:tcW w:type="dxa" w:w="3408"/>
          </w:tcPr>
          <w:p>
            <w:r>
              <w:t>25,531.60</w:t>
            </w:r>
          </w:p>
        </w:tc>
        <w:tc>
          <w:tcPr>
            <w:tcW w:type="dxa" w:w="3408"/>
          </w:tcPr>
          <w:p>
            <w:r/>
          </w:p>
        </w:tc>
      </w:tr>
      <w:tr>
        <w:tc>
          <w:tcPr>
            <w:tcW w:type="dxa" w:w="3408"/>
          </w:tcPr>
          <w:p>
            <w:r>
              <w:t>Credit Card Balance</w:t>
            </w:r>
          </w:p>
        </w:tc>
        <w:tc>
          <w:tcPr>
            <w:tcW w:type="dxa" w:w="3408"/>
          </w:tcPr>
          <w:p>
            <w:r>
              <w:t>3,176.21</w:t>
            </w:r>
          </w:p>
        </w:tc>
        <w:tc>
          <w:tcPr>
            <w:tcW w:type="dxa" w:w="3408"/>
          </w:tcPr>
          <w:p>
            <w:r/>
          </w:p>
        </w:tc>
      </w:tr>
      <w:tr>
        <w:tc>
          <w:tcPr>
            <w:tcW w:type="dxa" w:w="3408"/>
          </w:tcPr>
          <w:p>
            <w:r>
              <w:t>Bank Loans</w:t>
            </w:r>
          </w:p>
        </w:tc>
        <w:tc>
          <w:tcPr>
            <w:tcW w:type="dxa" w:w="3408"/>
          </w:tcPr>
          <w:p>
            <w:r>
              <w:t>591,386.20</w:t>
            </w:r>
          </w:p>
        </w:tc>
        <w:tc>
          <w:tcPr>
            <w:tcW w:type="dxa" w:w="3408"/>
          </w:tcPr>
          <w:p>
            <w:r/>
          </w:p>
        </w:tc>
      </w:tr>
      <w:tr>
        <w:tc>
          <w:tcPr>
            <w:tcW w:type="dxa" w:w="3408"/>
          </w:tcPr>
          <w:p>
            <w:r>
              <w:t>Bank Deposits</w:t>
            </w:r>
          </w:p>
        </w:tc>
        <w:tc>
          <w:tcPr>
            <w:tcW w:type="dxa" w:w="3408"/>
          </w:tcPr>
          <w:p>
            <w:r>
              <w:t>671,560.20</w:t>
            </w:r>
          </w:p>
        </w:tc>
        <w:tc>
          <w:tcPr>
            <w:tcW w:type="dxa" w:w="3408"/>
          </w:tcPr>
          <w:p>
            <w:r/>
          </w:p>
        </w:tc>
      </w:tr>
      <w:tr>
        <w:tc>
          <w:tcPr>
            <w:tcW w:type="dxa" w:w="3408"/>
          </w:tcPr>
          <w:p>
            <w:r>
              <w:t>Checking Accounts</w:t>
            </w:r>
          </w:p>
        </w:tc>
        <w:tc>
          <w:tcPr>
            <w:tcW w:type="dxa" w:w="3408"/>
          </w:tcPr>
          <w:p>
            <w:r>
              <w:t>321,092.90</w:t>
            </w:r>
          </w:p>
        </w:tc>
        <w:tc>
          <w:tcPr>
            <w:tcW w:type="dxa" w:w="3408"/>
          </w:tcPr>
          <w:p>
            <w:r/>
          </w:p>
        </w:tc>
      </w:tr>
      <w:tr>
        <w:tc>
          <w:tcPr>
            <w:tcW w:type="dxa" w:w="3408"/>
          </w:tcPr>
          <w:p>
            <w:r>
              <w:t>Saving Accounts</w:t>
            </w:r>
          </w:p>
        </w:tc>
        <w:tc>
          <w:tcPr>
            <w:tcW w:type="dxa" w:w="3408"/>
          </w:tcPr>
          <w:p>
            <w:r>
              <w:t>232,908.40</w:t>
            </w:r>
          </w:p>
        </w:tc>
        <w:tc>
          <w:tcPr>
            <w:tcW w:type="dxa" w:w="3408"/>
          </w:tcPr>
          <w:p>
            <w:r/>
          </w:p>
        </w:tc>
      </w:tr>
      <w:tr>
        <w:tc>
          <w:tcPr>
            <w:tcW w:type="dxa" w:w="3408"/>
          </w:tcPr>
          <w:p>
            <w:r>
              <w:t>Foreign Currency Account</w:t>
            </w:r>
          </w:p>
        </w:tc>
        <w:tc>
          <w:tcPr>
            <w:tcW w:type="dxa" w:w="3408"/>
          </w:tcPr>
          <w:p>
            <w:r>
              <w:t>29,883.53</w:t>
            </w:r>
          </w:p>
        </w:tc>
        <w:tc>
          <w:tcPr>
            <w:tcW w:type="dxa" w:w="3408"/>
          </w:tcPr>
          <w:p>
            <w:r/>
          </w:p>
        </w:tc>
      </w:tr>
      <w:tr>
        <w:tc>
          <w:tcPr>
            <w:tcW w:type="dxa" w:w="3408"/>
          </w:tcPr>
          <w:p>
            <w:r>
              <w:t>Business Lending</w:t>
            </w:r>
          </w:p>
        </w:tc>
        <w:tc>
          <w:tcPr>
            <w:tcW w:type="dxa" w:w="3408"/>
          </w:tcPr>
          <w:p>
            <w:r>
              <w:t>866,759.80</w:t>
            </w:r>
          </w:p>
        </w:tc>
        <w:tc>
          <w:tcPr>
            <w:tcW w:type="dxa" w:w="3408"/>
          </w:tcPr>
          <w:p>
            <w:r/>
          </w:p>
        </w:tc>
      </w:tr>
      <w:tr>
        <w:tc>
          <w:tcPr>
            <w:tcW w:type="dxa" w:w="3408"/>
          </w:tcPr>
          <w:p>
            <w:r>
              <w:t>Properties Owned</w:t>
            </w:r>
          </w:p>
        </w:tc>
        <w:tc>
          <w:tcPr>
            <w:tcW w:type="dxa" w:w="3408"/>
          </w:tcPr>
          <w:p>
            <w:r>
              <w:t>1.52</w:t>
            </w:r>
          </w:p>
        </w:tc>
        <w:tc>
          <w:tcPr>
            <w:tcW w:type="dxa" w:w="3408"/>
          </w:tcPr>
          <w:p>
            <w:r/>
          </w:p>
        </w:tc>
      </w:tr>
    </w:tbl>
    <w:p>
      <w:r>
        <w:t>These values are rounded from DataFrame.describe() output. The notebook does not independently establish currency units, so numerical balances should be described as dataset units unless the source data confirms the currency.</w:t>
      </w:r>
    </w:p>
    <w:p>
      <w:pPr>
        <w:pStyle w:val="Heading2"/>
      </w:pPr>
      <w:r>
        <w:t>Correlation and relationship analysis</w:t>
      </w:r>
    </w:p>
    <w:p>
      <w:pPr>
        <w:pStyle w:val="ListBullet"/>
      </w:pPr>
      <w:r>
        <w:t>The notebook computes a correlation matrix for Age, Estimated Income, Superannuation Savings, Credit Card Balance, Bank Loans, Bank Deposits, Checking Accounts, Saving Accounts, Foreign Currency Account, Business Lending and Properties Owned.</w:t>
      </w:r>
    </w:p>
    <w:p>
      <w:pPr>
        <w:pStyle w:val="ListBullet"/>
      </w:pPr>
      <w:r>
        <w:t>The written interpretation highlights a strong positive relationship between Bank Deposits and Saving Accounts and discusses related relationships with Checking Accounts and Foreign Currency Account.</w:t>
      </w:r>
    </w:p>
    <w:p>
      <w:pPr>
        <w:pStyle w:val="ListBullet"/>
      </w:pPr>
      <w:r>
        <w:t>Age and Estimated Income are described as moderately related to some accumulation measures, including superannuation, savings and checking balances.</w:t>
      </w:r>
    </w:p>
    <w:p>
      <w:pPr>
        <w:pStyle w:val="ListBullet"/>
      </w:pPr>
      <w:r>
        <w:t>Properties Owned is described as weakly correlated with the selected banking metrics.</w:t>
      </w:r>
    </w:p>
    <w:p>
      <w:pPr>
        <w:pStyle w:val="ListBullet"/>
      </w:pPr>
      <w:r>
        <w:t>Business Lending is described as moderately linked to Bank Loans and relatively less correlated with deposit/property-related measures.</w:t>
      </w:r>
    </w:p>
    <w:p>
      <w:pPr>
        <w:pStyle w:val="ListBullet"/>
      </w:pPr>
      <w:r>
        <w:t>The saved notebook contains the heatmap and regression plots as figures, but exact correlation coefficients are not present as text outputs. No coefficient or p-value is fabricated in this report.</w:t>
      </w:r>
    </w:p>
    <w:p>
      <w:pPr>
        <w:pStyle w:val="Heading1"/>
      </w:pPr>
      <w:r>
        <w:t>5. Power BI / Presentation Insights</w:t>
      </w:r>
    </w:p>
    <w:p>
      <w:r>
        <w:t>The supplied PowerPoint describes the dashboard as a banking project focused on loan analysis, deposit analysis and an overall dataset summary. The following values are taken directly from its slide text.</w:t>
      </w:r>
    </w:p>
    <w:p>
      <w:pPr>
        <w:pStyle w:val="ListBullet"/>
      </w:pPr>
      <w:r>
        <w:t>Customer/account KPIs: Total Clients 188; Total Engagement Account $18.26K; Total CC Account $135.</w:t>
      </w:r>
    </w:p>
    <w:p>
      <w:pPr>
        <w:pStyle w:val="ListBullet"/>
      </w:pPr>
      <w:r>
        <w:t>Bank-level KPIs: Total Loan $139.9M; Total Deposit $111.49M; Total Fees $5.17M.</w:t>
      </w:r>
    </w:p>
    <w:p>
      <w:pPr>
        <w:pStyle w:val="ListBullet"/>
      </w:pPr>
      <w:r>
        <w:t>Financial-goal / bank-number figures: Bank Loan $55.5M; Bank Deposit $60.18M; Business Lending $83.52M.</w:t>
      </w:r>
    </w:p>
    <w:p>
      <w:pPr>
        <w:pStyle w:val="ListBullet"/>
      </w:pPr>
      <w:r>
        <w:t>Account balances: Saving Account 19.85 (slide labels it “in Millions”); Foreign Currency Amount $2.71M.</w:t>
      </w:r>
    </w:p>
    <w:p>
      <w:pPr>
        <w:pStyle w:val="ListBullet"/>
      </w:pPr>
      <w:r>
        <w:t>Income-band observation in the presentation: Bank loan is highest for the Mid Income band and lowest for the High Income band.</w:t>
      </w:r>
    </w:p>
    <w:p>
      <w:pPr>
        <w:pStyle w:val="ListBullet"/>
      </w:pPr>
      <w:r>
        <w:t>Nationality observation: the presentation says the plotted “features” are highest for European countries followed by Asian countries, and lowest for Australian followed by African countries. The exact measure meant by “features” is not explicit in the extracted slide text.</w:t>
      </w:r>
    </w:p>
    <w:p>
      <w:pPr>
        <w:pStyle w:val="ListBullet"/>
      </w:pPr>
      <w:r>
        <w:t>Bank Loan by Nationality slide text says bank loan is highest for European countries and lowest for Australian countries.</w:t>
      </w:r>
    </w:p>
    <w:p>
      <w:r>
        <w:t>The PBIX file itself was not programmatically inspected for measure definitions. Therefore this report does not assert specific DAX formulas, Power Query steps, relationships, or slicer behaviour. Dashboard totals may use filters or measures that differ from notebook aggregates; validate them in Power BI before comparing them directly.</w:t>
      </w:r>
    </w:p>
    <w:p>
      <w:pPr>
        <w:pStyle w:val="Heading1"/>
      </w:pPr>
      <w:r>
        <w:t>6. Business Interpretation</w:t>
      </w:r>
    </w:p>
    <w:p>
      <w:pPr>
        <w:pStyle w:val="ListBullet"/>
      </w:pPr>
      <w:r>
        <w:t>Mid is the largest income segment in the notebook (1,517 of 3,000 rows), followed by Low (1,027) and High (456).</w:t>
      </w:r>
    </w:p>
    <w:p>
      <w:pPr>
        <w:pStyle w:val="ListBullet"/>
      </w:pPr>
      <w:r>
        <w:t>European nationality is the largest category in the notebook (1,309 of 3,000 rows).</w:t>
      </w:r>
    </w:p>
    <w:p>
      <w:pPr>
        <w:pStyle w:val="ListBullet"/>
      </w:pPr>
      <w:r>
        <w:t>Jade is the most frequent loyalty classification (1,331), while Platinum is the least frequent (317).</w:t>
      </w:r>
    </w:p>
    <w:p>
      <w:pPr>
        <w:pStyle w:val="ListBullet"/>
      </w:pPr>
      <w:r>
        <w:t>The dashboard presentation highlights loan/deposit scale and reports that the Mid income band has the highest bank-loan level. The exact chart values by segment are not exposed in the extracted slide text.</w:t>
      </w:r>
    </w:p>
    <w:p>
      <w:pPr>
        <w:pStyle w:val="ListBullet"/>
      </w:pPr>
      <w:r>
        <w:t>Account-balance relationships are explored through correlation analysis, but they should be interpreted as associations, not causation.</w:t>
      </w:r>
    </w:p>
    <w:p>
      <w:pPr>
        <w:pStyle w:val="Heading1"/>
      </w:pPr>
      <w:r>
        <w:t>7. Reproducibility</w:t>
      </w:r>
    </w:p>
    <w:p>
      <w:pPr>
        <w:pStyle w:val="Heading2"/>
      </w:pPr>
      <w:r>
        <w:t>Python</w:t>
      </w:r>
    </w:p>
    <w:p>
      <w:r>
        <w:t>Install Python and Jupyter, then run:</w:t>
      </w:r>
    </w:p>
    <w:p>
      <w:pPr/>
      <w:r>
        <w:t>pip install pandas numpy matplotlib seaborn jupyter</w:t>
      </w:r>
    </w:p>
    <w:p>
      <w:r>
        <w:t>Place Banking.csv in the working directory or update the pd.read_csv path in the notebook. Run the cells in order.</w:t>
      </w:r>
    </w:p>
    <w:p>
      <w:pPr>
        <w:pStyle w:val="Heading2"/>
      </w:pPr>
      <w:r>
        <w:t>Power BI</w:t>
      </w:r>
    </w:p>
    <w:p>
      <w:r>
        <w:t>Open Banking Dashboard (2025) (1).pbix in Power BI Desktop. If Power BI requests a data source, point it to the relevant Banking.csv file and refresh. Validate the visuals and measure definitions before publishing.</w:t>
      </w:r>
    </w:p>
    <w:p>
      <w:pPr>
        <w:pStyle w:val="Heading1"/>
      </w:pPr>
      <w:r>
        <w:t>8. Limitations and Next Steps</w:t>
      </w:r>
    </w:p>
    <w:p>
      <w:pPr>
        <w:pStyle w:val="ListBullet"/>
      </w:pPr>
      <w:r>
        <w:t>The notebooks show descriptive statistics, frequency counts, correlations and regression plots; no inferential hypothesis tests or p-values are shown in the saved cells.</w:t>
      </w:r>
    </w:p>
    <w:p>
      <w:pPr>
        <w:pStyle w:val="ListBullet"/>
      </w:pPr>
      <w:r>
        <w:t>Exact correlation coefficients should be recomputed from the original CSV if they are to be quoted in a portfolio or interview.</w:t>
      </w:r>
    </w:p>
    <w:p>
      <w:pPr>
        <w:pStyle w:val="ListBullet"/>
      </w:pPr>
      <w:r>
        <w:t>The presentation's KPI totals have not been reconciled with the 3,000-row notebook dataset. Confirm filters, units and aggregation logic.</w:t>
      </w:r>
    </w:p>
    <w:p>
      <w:pPr>
        <w:pStyle w:val="ListBullet"/>
      </w:pPr>
      <w:r>
        <w:t>The presentation's “Total Engagement Account” and “Total CC Account” labels need business definitions before being interpreted as monetary totals.</w:t>
      </w:r>
    </w:p>
    <w:p>
      <w:pPr>
        <w:pStyle w:val="ListBullet"/>
      </w:pPr>
      <w:r>
        <w:t>Validate whether the currency is USD and confirm what “features” means on the nationality slides before using those labels in external claims.</w:t>
      </w:r>
    </w:p>
    <w:p>
      <w:pPr>
        <w:pStyle w:val="Heading1"/>
      </w:pPr>
      <w:r>
        <w:t>9. Portfolio Summary</w:t>
      </w:r>
    </w:p>
    <w:p>
      <w:r>
        <w:t>Performed EDA on 3,000 banking customer records across 25 columns using Pandas, descriptive statistics, missing-value profiling, income segmentation, date parsing, distribution plots and correlation analysis. Identified Mid as the largest income band (1,517 records) and European as the largest nationality category (1,309 records), and presented selected loan, deposit, fee and account KPIs in a Power BI project presentation.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