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62B1" w14:textId="7A41DBB3" w:rsidR="00BA4394" w:rsidRDefault="00000000">
      <w:pPr>
        <w:spacing w:after="315" w:line="259" w:lineRule="auto"/>
        <w:ind w:left="0" w:firstLine="0"/>
      </w:pPr>
      <w:r>
        <w:rPr>
          <w:b/>
          <w:sz w:val="27"/>
        </w:rPr>
        <w:t>Project: Investment Recommendation (10-Year Horizon)</w:t>
      </w:r>
    </w:p>
    <w:p w14:paraId="6351006F" w14:textId="77777777" w:rsidR="00BA4394" w:rsidRDefault="00000000">
      <w:pPr>
        <w:pStyle w:val="Heading1"/>
        <w:spacing w:after="0"/>
        <w:ind w:left="216" w:hanging="231"/>
      </w:pPr>
      <w:r>
        <w:t>Executive Summary &amp; Recommendation</w:t>
      </w:r>
    </w:p>
    <w:tbl>
      <w:tblPr>
        <w:tblStyle w:val="TableGrid0"/>
        <w:tblW w:w="8441" w:type="dxa"/>
        <w:tblLook w:val="04A0" w:firstRow="1" w:lastRow="0" w:firstColumn="1" w:lastColumn="0" w:noHBand="0" w:noVBand="1"/>
      </w:tblPr>
      <w:tblGrid>
        <w:gridCol w:w="2439"/>
        <w:gridCol w:w="1718"/>
        <w:gridCol w:w="2818"/>
        <w:gridCol w:w="1466"/>
      </w:tblGrid>
      <w:tr w:rsidR="00BA4394" w14:paraId="310BEC8D" w14:textId="77777777" w:rsidTr="00DB2BA1">
        <w:trPr>
          <w:trHeight w:val="403"/>
        </w:trPr>
        <w:tc>
          <w:tcPr>
            <w:tcW w:w="2467" w:type="dxa"/>
          </w:tcPr>
          <w:p w14:paraId="358A7DE3" w14:textId="77777777" w:rsidR="00BA439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1728" w:type="dxa"/>
          </w:tcPr>
          <w:p w14:paraId="1D0C45F5" w14:textId="77777777" w:rsidR="00BA4394" w:rsidRDefault="00000000">
            <w:pPr>
              <w:spacing w:after="0" w:line="259" w:lineRule="auto"/>
              <w:ind w:left="318" w:firstLine="0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2848" w:type="dxa"/>
          </w:tcPr>
          <w:p w14:paraId="7AE48F55" w14:textId="77777777" w:rsidR="00BA439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Benchmark (Cost of Capital)</w:t>
            </w:r>
          </w:p>
        </w:tc>
        <w:tc>
          <w:tcPr>
            <w:tcW w:w="1398" w:type="dxa"/>
          </w:tcPr>
          <w:p w14:paraId="2D5BAD16" w14:textId="77777777" w:rsidR="00BA439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17"/>
              </w:rPr>
              <w:t>Recommendation</w:t>
            </w:r>
          </w:p>
        </w:tc>
      </w:tr>
      <w:tr w:rsidR="00BA4394" w14:paraId="5CE98706" w14:textId="77777777" w:rsidTr="00DB2BA1">
        <w:trPr>
          <w:trHeight w:val="630"/>
        </w:trPr>
        <w:tc>
          <w:tcPr>
            <w:tcW w:w="2467" w:type="dxa"/>
          </w:tcPr>
          <w:p w14:paraId="317EA29C" w14:textId="77777777" w:rsidR="00BA439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Net Present Value (NPV)</w:t>
            </w:r>
          </w:p>
        </w:tc>
        <w:tc>
          <w:tcPr>
            <w:tcW w:w="1728" w:type="dxa"/>
          </w:tcPr>
          <w:p w14:paraId="6230F5CA" w14:textId="373CD279" w:rsidR="00BA4394" w:rsidRDefault="00DB2BA1">
            <w:pPr>
              <w:spacing w:after="0" w:line="259" w:lineRule="auto"/>
              <w:ind w:left="318" w:firstLine="0"/>
            </w:pPr>
            <w:r>
              <w:rPr>
                <w:b/>
                <w:sz w:val="17"/>
              </w:rPr>
              <w:t xml:space="preserve">$742.01 </w:t>
            </w:r>
            <w:proofErr w:type="spellStart"/>
            <w:r>
              <w:rPr>
                <w:b/>
                <w:sz w:val="17"/>
              </w:rPr>
              <w:t>kUSD</w:t>
            </w:r>
            <w:proofErr w:type="spellEnd"/>
          </w:p>
        </w:tc>
        <w:tc>
          <w:tcPr>
            <w:tcW w:w="2848" w:type="dxa"/>
          </w:tcPr>
          <w:p w14:paraId="0B522C4A" w14:textId="544DB0FC" w:rsidR="00BA4394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&gt; ₹0.00 </w:t>
            </w:r>
            <w:proofErr w:type="spellStart"/>
            <w:r w:rsidR="009E5E49">
              <w:rPr>
                <w:sz w:val="17"/>
              </w:rPr>
              <w:t>kUSD</w:t>
            </w:r>
            <w:proofErr w:type="spellEnd"/>
          </w:p>
        </w:tc>
        <w:tc>
          <w:tcPr>
            <w:tcW w:w="1398" w:type="dxa"/>
          </w:tcPr>
          <w:p w14:paraId="6A79C78E" w14:textId="77777777" w:rsidR="00BA439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ACCEPT</w:t>
            </w:r>
          </w:p>
        </w:tc>
      </w:tr>
      <w:tr w:rsidR="00BA4394" w14:paraId="11FA29B4" w14:textId="77777777" w:rsidTr="00DB2BA1">
        <w:trPr>
          <w:trHeight w:val="403"/>
        </w:trPr>
        <w:tc>
          <w:tcPr>
            <w:tcW w:w="2467" w:type="dxa"/>
          </w:tcPr>
          <w:p w14:paraId="05EDD55D" w14:textId="77777777" w:rsidR="00BA439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Internal Rate of Return (IRR)</w:t>
            </w:r>
          </w:p>
        </w:tc>
        <w:tc>
          <w:tcPr>
            <w:tcW w:w="1728" w:type="dxa"/>
          </w:tcPr>
          <w:p w14:paraId="101EFEA5" w14:textId="77777777" w:rsidR="00BA4394" w:rsidRDefault="00000000">
            <w:pPr>
              <w:spacing w:after="0" w:line="259" w:lineRule="auto"/>
              <w:ind w:left="318" w:firstLine="0"/>
            </w:pPr>
            <w:r>
              <w:rPr>
                <w:b/>
                <w:sz w:val="17"/>
              </w:rPr>
              <w:t>25.05%</w:t>
            </w:r>
          </w:p>
        </w:tc>
        <w:tc>
          <w:tcPr>
            <w:tcW w:w="2848" w:type="dxa"/>
          </w:tcPr>
          <w:p w14:paraId="101BB9B7" w14:textId="77777777" w:rsidR="00BA4394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10.00%</w:t>
            </w:r>
          </w:p>
        </w:tc>
        <w:tc>
          <w:tcPr>
            <w:tcW w:w="1398" w:type="dxa"/>
          </w:tcPr>
          <w:p w14:paraId="12B056AF" w14:textId="77777777" w:rsidR="00BA439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ACCEPT</w:t>
            </w:r>
          </w:p>
        </w:tc>
      </w:tr>
    </w:tbl>
    <w:p w14:paraId="1FA8ECEC" w14:textId="77777777" w:rsidR="00DB2BA1" w:rsidRDefault="00DB2BA1" w:rsidP="00DB2BA1">
      <w:pPr>
        <w:spacing w:after="0"/>
        <w:ind w:left="0" w:firstLine="0"/>
        <w:rPr>
          <w:b/>
        </w:rPr>
      </w:pPr>
    </w:p>
    <w:p w14:paraId="451EA5B9" w14:textId="61D8B412" w:rsidR="00BA4394" w:rsidRDefault="00000000" w:rsidP="00DB2BA1">
      <w:pPr>
        <w:spacing w:after="0"/>
        <w:ind w:left="0" w:firstLine="0"/>
      </w:pPr>
      <w:r>
        <w:rPr>
          <w:b/>
        </w:rPr>
        <w:t>Recommendation:</w:t>
      </w:r>
      <w:r>
        <w:t xml:space="preserve"> We strongly recommend </w:t>
      </w:r>
      <w:r>
        <w:rPr>
          <w:b/>
        </w:rPr>
        <w:t>ACCEPTING</w:t>
      </w:r>
      <w:r>
        <w:t xml:space="preserve"> Project Alpha. The project is highly </w:t>
      </w:r>
      <w:r w:rsidR="009E5E49">
        <w:t>value accretive</w:t>
      </w:r>
      <w:r>
        <w:t>, with an Internal Rate of Return (IRR) significantly exceeding the firm's required rate of return (10%).</w:t>
      </w:r>
    </w:p>
    <w:p w14:paraId="482CF167" w14:textId="77777777" w:rsidR="00DB2BA1" w:rsidRDefault="00DB2BA1" w:rsidP="00DB2BA1">
      <w:pPr>
        <w:spacing w:after="0"/>
        <w:ind w:left="0" w:firstLine="0"/>
      </w:pPr>
    </w:p>
    <w:p w14:paraId="43C8810D" w14:textId="77777777" w:rsidR="00BA4394" w:rsidRDefault="00000000">
      <w:pPr>
        <w:pStyle w:val="Heading1"/>
        <w:ind w:left="241" w:hanging="256"/>
      </w:pPr>
      <w:r>
        <w:t>Core Financial Rationale</w:t>
      </w:r>
    </w:p>
    <w:p w14:paraId="7E0B9733" w14:textId="77777777" w:rsidR="00BA4394" w:rsidRDefault="00000000" w:rsidP="009E5E49">
      <w:pPr>
        <w:spacing w:after="0" w:line="259" w:lineRule="auto"/>
        <w:ind w:left="0" w:firstLine="0"/>
      </w:pPr>
      <w:r>
        <w:t>The project's financial viability is confirmed by both primary capital budgeting metrics:</w:t>
      </w:r>
    </w:p>
    <w:p w14:paraId="1DB48AAC" w14:textId="75369ABB" w:rsidR="00BA4394" w:rsidRDefault="00000000">
      <w:pPr>
        <w:ind w:left="419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A36C1E" wp14:editId="557794BD">
                <wp:extent cx="38475" cy="38474"/>
                <wp:effectExtent l="0" t="0" r="0" b="0"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75" cy="38474"/>
                          <a:chOff x="0" y="0"/>
                          <a:chExt cx="38475" cy="38474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38475" cy="38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75" h="38474">
                                <a:moveTo>
                                  <a:pt x="19237" y="0"/>
                                </a:moveTo>
                                <a:cubicBezTo>
                                  <a:pt x="21788" y="0"/>
                                  <a:pt x="24242" y="488"/>
                                  <a:pt x="26599" y="1464"/>
                                </a:cubicBezTo>
                                <a:cubicBezTo>
                                  <a:pt x="28956" y="2440"/>
                                  <a:pt x="31036" y="3830"/>
                                  <a:pt x="32840" y="5634"/>
                                </a:cubicBezTo>
                                <a:cubicBezTo>
                                  <a:pt x="34644" y="7438"/>
                                  <a:pt x="36034" y="9518"/>
                                  <a:pt x="37010" y="11875"/>
                                </a:cubicBezTo>
                                <a:cubicBezTo>
                                  <a:pt x="37986" y="14232"/>
                                  <a:pt x="38475" y="16686"/>
                                  <a:pt x="38475" y="19237"/>
                                </a:cubicBezTo>
                                <a:cubicBezTo>
                                  <a:pt x="38475" y="21788"/>
                                  <a:pt x="37986" y="24242"/>
                                  <a:pt x="37010" y="26598"/>
                                </a:cubicBezTo>
                                <a:cubicBezTo>
                                  <a:pt x="36034" y="28956"/>
                                  <a:pt x="34644" y="31036"/>
                                  <a:pt x="32840" y="32840"/>
                                </a:cubicBezTo>
                                <a:cubicBezTo>
                                  <a:pt x="31036" y="34644"/>
                                  <a:pt x="28956" y="36034"/>
                                  <a:pt x="26599" y="37010"/>
                                </a:cubicBezTo>
                                <a:cubicBezTo>
                                  <a:pt x="24242" y="37986"/>
                                  <a:pt x="21788" y="38474"/>
                                  <a:pt x="19237" y="38474"/>
                                </a:cubicBezTo>
                                <a:cubicBezTo>
                                  <a:pt x="16686" y="38474"/>
                                  <a:pt x="14232" y="37986"/>
                                  <a:pt x="11875" y="37010"/>
                                </a:cubicBezTo>
                                <a:cubicBezTo>
                                  <a:pt x="9519" y="36034"/>
                                  <a:pt x="7438" y="34644"/>
                                  <a:pt x="5634" y="32840"/>
                                </a:cubicBezTo>
                                <a:cubicBezTo>
                                  <a:pt x="3830" y="31036"/>
                                  <a:pt x="2441" y="28956"/>
                                  <a:pt x="1464" y="26598"/>
                                </a:cubicBezTo>
                                <a:cubicBezTo>
                                  <a:pt x="488" y="24242"/>
                                  <a:pt x="0" y="21788"/>
                                  <a:pt x="0" y="19237"/>
                                </a:cubicBezTo>
                                <a:cubicBezTo>
                                  <a:pt x="0" y="16686"/>
                                  <a:pt x="488" y="14232"/>
                                  <a:pt x="1464" y="11875"/>
                                </a:cubicBezTo>
                                <a:cubicBezTo>
                                  <a:pt x="2441" y="9518"/>
                                  <a:pt x="3830" y="7438"/>
                                  <a:pt x="5634" y="5634"/>
                                </a:cubicBezTo>
                                <a:cubicBezTo>
                                  <a:pt x="7438" y="3830"/>
                                  <a:pt x="9519" y="2440"/>
                                  <a:pt x="11875" y="1464"/>
                                </a:cubicBezTo>
                                <a:cubicBezTo>
                                  <a:pt x="14232" y="488"/>
                                  <a:pt x="16686" y="0"/>
                                  <a:pt x="192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9" style="width:3.0295pt;height:3.02948pt;mso-position-horizontal-relative:char;mso-position-vertical-relative:line" coordsize="384,384">
                <v:shape id="Shape 96" style="position:absolute;width:384;height:384;left:0;top:0;" coordsize="38475,38474" path="m19237,0c21788,0,24242,488,26599,1464c28956,2440,31036,3830,32840,5634c34644,7438,36034,9518,37010,11875c37986,14232,38475,16686,38475,19237c38475,21788,37986,24242,37010,26598c36034,28956,34644,31036,32840,32840c31036,34644,28956,36034,26599,37010c24242,37986,21788,38474,19237,38474c16686,38474,14232,37986,11875,37010c9519,36034,7438,34644,5634,32840c3830,31036,2441,28956,1464,26598c488,24242,0,21788,0,19237c0,16686,488,14232,1464,11875c2441,9518,3830,7438,5634,5634c7438,3830,9519,2440,11875,1464c14232,488,16686,0,19237,0x">
                  <v:stroke weight="0pt" endcap="flat" joinstyle="miter" miterlimit="10" on="false" color="#000000" opacity="0"/>
                  <v:fill on="true" color="#1b1c1d"/>
                </v:shape>
              </v:group>
            </w:pict>
          </mc:Fallback>
        </mc:AlternateContent>
      </w:r>
      <w:r>
        <w:rPr>
          <w:b/>
        </w:rPr>
        <w:tab/>
        <w:t>NPV (</w:t>
      </w:r>
      <w:r w:rsidR="00DB2BA1">
        <w:rPr>
          <w:b/>
        </w:rPr>
        <w:t>$</w:t>
      </w:r>
      <w:r>
        <w:rPr>
          <w:b/>
        </w:rPr>
        <w:t xml:space="preserve">742.01 </w:t>
      </w:r>
      <w:proofErr w:type="spellStart"/>
      <w:r w:rsidR="00DB2BA1">
        <w:rPr>
          <w:b/>
        </w:rPr>
        <w:t>kUSD</w:t>
      </w:r>
      <w:proofErr w:type="spellEnd"/>
      <w:r>
        <w:rPr>
          <w:b/>
        </w:rPr>
        <w:t>):</w:t>
      </w:r>
      <w:r>
        <w:t xml:space="preserve"> The positive Net Present Value indicates that the project is expected to generate </w:t>
      </w:r>
      <w:r w:rsidR="004E6813">
        <w:rPr>
          <w:b/>
        </w:rPr>
        <w:t>$</w:t>
      </w:r>
      <w:r>
        <w:rPr>
          <w:b/>
        </w:rPr>
        <w:t>742.01 IND</w:t>
      </w:r>
      <w:r>
        <w:t xml:space="preserve"> in value (in today's money) after covering the initial investment and the cost of capital.</w:t>
      </w:r>
    </w:p>
    <w:p w14:paraId="3238A7CD" w14:textId="77777777" w:rsidR="00BA4394" w:rsidRDefault="00000000">
      <w:pPr>
        <w:spacing w:after="344"/>
        <w:ind w:left="419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91E854" wp14:editId="638ADE44">
                <wp:extent cx="38475" cy="38475"/>
                <wp:effectExtent l="0" t="0" r="0" b="0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75" cy="38475"/>
                          <a:chOff x="0" y="0"/>
                          <a:chExt cx="38475" cy="3847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38475" cy="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75" h="38475">
                                <a:moveTo>
                                  <a:pt x="19237" y="0"/>
                                </a:moveTo>
                                <a:cubicBezTo>
                                  <a:pt x="21788" y="0"/>
                                  <a:pt x="24242" y="488"/>
                                  <a:pt x="26599" y="1464"/>
                                </a:cubicBezTo>
                                <a:cubicBezTo>
                                  <a:pt x="28956" y="2441"/>
                                  <a:pt x="31036" y="3830"/>
                                  <a:pt x="32840" y="5634"/>
                                </a:cubicBezTo>
                                <a:cubicBezTo>
                                  <a:pt x="34644" y="7438"/>
                                  <a:pt x="36034" y="9518"/>
                                  <a:pt x="37010" y="11875"/>
                                </a:cubicBezTo>
                                <a:cubicBezTo>
                                  <a:pt x="37986" y="14232"/>
                                  <a:pt x="38475" y="16686"/>
                                  <a:pt x="38475" y="19237"/>
                                </a:cubicBezTo>
                                <a:cubicBezTo>
                                  <a:pt x="38475" y="21788"/>
                                  <a:pt x="37986" y="24242"/>
                                  <a:pt x="37010" y="26599"/>
                                </a:cubicBezTo>
                                <a:cubicBezTo>
                                  <a:pt x="36034" y="28956"/>
                                  <a:pt x="34644" y="31036"/>
                                  <a:pt x="32840" y="32840"/>
                                </a:cubicBezTo>
                                <a:cubicBezTo>
                                  <a:pt x="31036" y="34644"/>
                                  <a:pt x="28956" y="36034"/>
                                  <a:pt x="26599" y="37010"/>
                                </a:cubicBezTo>
                                <a:cubicBezTo>
                                  <a:pt x="24242" y="37986"/>
                                  <a:pt x="21788" y="38474"/>
                                  <a:pt x="19237" y="38475"/>
                                </a:cubicBezTo>
                                <a:cubicBezTo>
                                  <a:pt x="16686" y="38474"/>
                                  <a:pt x="14232" y="37986"/>
                                  <a:pt x="11875" y="37010"/>
                                </a:cubicBezTo>
                                <a:cubicBezTo>
                                  <a:pt x="9519" y="36034"/>
                                  <a:pt x="7438" y="34644"/>
                                  <a:pt x="5634" y="32840"/>
                                </a:cubicBezTo>
                                <a:cubicBezTo>
                                  <a:pt x="3830" y="31036"/>
                                  <a:pt x="2441" y="28956"/>
                                  <a:pt x="1464" y="26599"/>
                                </a:cubicBezTo>
                                <a:cubicBezTo>
                                  <a:pt x="488" y="24242"/>
                                  <a:pt x="0" y="21788"/>
                                  <a:pt x="0" y="19237"/>
                                </a:cubicBezTo>
                                <a:cubicBezTo>
                                  <a:pt x="0" y="16686"/>
                                  <a:pt x="488" y="14232"/>
                                  <a:pt x="1464" y="11875"/>
                                </a:cubicBezTo>
                                <a:cubicBezTo>
                                  <a:pt x="2441" y="9518"/>
                                  <a:pt x="3830" y="7438"/>
                                  <a:pt x="5634" y="5634"/>
                                </a:cubicBezTo>
                                <a:cubicBezTo>
                                  <a:pt x="7438" y="3830"/>
                                  <a:pt x="9519" y="2441"/>
                                  <a:pt x="11875" y="1464"/>
                                </a:cubicBezTo>
                                <a:cubicBezTo>
                                  <a:pt x="14232" y="488"/>
                                  <a:pt x="16686" y="0"/>
                                  <a:pt x="192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0" style="width:3.0295pt;height:3.02951pt;mso-position-horizontal-relative:char;mso-position-vertical-relative:line" coordsize="384,384">
                <v:shape id="Shape 106" style="position:absolute;width:384;height:384;left:0;top:0;" coordsize="38475,38475" path="m19237,0c21788,0,24242,488,26599,1464c28956,2441,31036,3830,32840,5634c34644,7438,36034,9518,37010,11875c37986,14232,38475,16686,38475,19237c38475,21788,37986,24242,37010,26599c36034,28956,34644,31036,32840,32840c31036,34644,28956,36034,26599,37010c24242,37986,21788,38474,19237,38475c16686,38474,14232,37986,11875,37010c9519,36034,7438,34644,5634,32840c3830,31036,2441,28956,1464,26599c488,24242,0,21788,0,19237c0,16686,488,14232,1464,11875c2441,9518,3830,7438,5634,5634c7438,3830,9519,2441,11875,1464c14232,488,16686,0,19237,0x">
                  <v:stroke weight="0pt" endcap="flat" joinstyle="miter" miterlimit="10" on="false" color="#000000" opacity="0"/>
                  <v:fill on="true" color="#1b1c1d"/>
                </v:shape>
              </v:group>
            </w:pict>
          </mc:Fallback>
        </mc:AlternateContent>
      </w:r>
      <w:r>
        <w:rPr>
          <w:b/>
        </w:rPr>
        <w:tab/>
        <w:t>IRR (25.05%):</w:t>
      </w:r>
      <w:r>
        <w:t xml:space="preserve"> The project is expected to deliver a 25.05% return, representing a premium of </w:t>
      </w:r>
      <w:r>
        <w:rPr>
          <w:b/>
        </w:rPr>
        <w:t>15.05 percentage points</w:t>
      </w:r>
      <w:r>
        <w:t xml:space="preserve"> over our 10% Hurdle Rate. This confirms the project's ability to create substantial economic value.</w:t>
      </w:r>
    </w:p>
    <w:p w14:paraId="428A299B" w14:textId="77777777" w:rsidR="00BA4394" w:rsidRDefault="00000000">
      <w:pPr>
        <w:pStyle w:val="Heading1"/>
        <w:ind w:left="247" w:hanging="262"/>
      </w:pPr>
      <w:r>
        <w:t>Detailed Cash Flow Analysis</w:t>
      </w:r>
    </w:p>
    <w:tbl>
      <w:tblPr>
        <w:tblStyle w:val="TableGrid"/>
        <w:tblpPr w:leftFromText="180" w:rightFromText="180" w:vertAnchor="text" w:horzAnchor="margin" w:tblpY="329"/>
        <w:tblW w:w="9144" w:type="dxa"/>
        <w:tblInd w:w="0" w:type="dxa"/>
        <w:tblLook w:val="04A0" w:firstRow="1" w:lastRow="0" w:firstColumn="1" w:lastColumn="0" w:noHBand="0" w:noVBand="1"/>
      </w:tblPr>
      <w:tblGrid>
        <w:gridCol w:w="174"/>
        <w:gridCol w:w="529"/>
        <w:gridCol w:w="1560"/>
        <w:gridCol w:w="1701"/>
        <w:gridCol w:w="1701"/>
        <w:gridCol w:w="3479"/>
      </w:tblGrid>
      <w:tr w:rsidR="00CA7814" w14:paraId="145F806A" w14:textId="77777777" w:rsidTr="009E5E49">
        <w:trPr>
          <w:trHeight w:val="414"/>
        </w:trPr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CC2B" w14:textId="72E353A4" w:rsidR="00CA7814" w:rsidRDefault="009E5E49" w:rsidP="00CA7814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 xml:space="preserve"> </w:t>
            </w:r>
            <w:r w:rsidR="00CA7814">
              <w:rPr>
                <w:b/>
                <w:sz w:val="17"/>
              </w:rPr>
              <w:t>Year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F60E" w14:textId="160CB324" w:rsidR="00CA7814" w:rsidRDefault="009E5E49" w:rsidP="00DB2BA1">
            <w:pPr>
              <w:spacing w:after="21" w:line="259" w:lineRule="auto"/>
              <w:ind w:left="0" w:firstLine="0"/>
            </w:pPr>
            <w:r>
              <w:rPr>
                <w:b/>
                <w:sz w:val="17"/>
              </w:rPr>
              <w:t xml:space="preserve"> </w:t>
            </w:r>
            <w:r w:rsidR="00CA7814">
              <w:rPr>
                <w:b/>
                <w:sz w:val="17"/>
              </w:rPr>
              <w:t>Cash Flow</w:t>
            </w:r>
            <w:r w:rsidR="00DB2BA1">
              <w:rPr>
                <w:b/>
              </w:rPr>
              <w:t xml:space="preserve"> </w:t>
            </w:r>
            <w:r w:rsidR="00CA7814">
              <w:rPr>
                <w:b/>
                <w:sz w:val="17"/>
              </w:rPr>
              <w:t>(</w:t>
            </w:r>
            <w:r>
              <w:rPr>
                <w:b/>
                <w:sz w:val="17"/>
              </w:rPr>
              <w:t xml:space="preserve">$ </w:t>
            </w:r>
            <w:proofErr w:type="spellStart"/>
            <w:r>
              <w:rPr>
                <w:b/>
                <w:sz w:val="17"/>
              </w:rPr>
              <w:t>kUSD</w:t>
            </w:r>
            <w:proofErr w:type="spellEnd"/>
            <w:r w:rsidR="00CA7814">
              <w:rPr>
                <w:b/>
                <w:sz w:val="17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86EF" w14:textId="5B45A736" w:rsidR="00CA7814" w:rsidRDefault="009E5E49" w:rsidP="00DB2BA1">
            <w:pPr>
              <w:spacing w:after="20" w:line="259" w:lineRule="auto"/>
              <w:ind w:left="0" w:firstLine="0"/>
            </w:pPr>
            <w:r>
              <w:rPr>
                <w:b/>
                <w:sz w:val="17"/>
              </w:rPr>
              <w:t xml:space="preserve"> </w:t>
            </w:r>
            <w:r w:rsidR="00CA7814">
              <w:rPr>
                <w:b/>
                <w:sz w:val="17"/>
              </w:rPr>
              <w:t>Discount</w:t>
            </w:r>
            <w:r w:rsidR="00DB2BA1">
              <w:rPr>
                <w:b/>
              </w:rPr>
              <w:t xml:space="preserve"> </w:t>
            </w:r>
            <w:r w:rsidR="00CA7814">
              <w:rPr>
                <w:b/>
                <w:sz w:val="17"/>
              </w:rPr>
              <w:t>Factor (10%)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31E9" w14:textId="406D824E" w:rsidR="00CA7814" w:rsidRDefault="009E5E49" w:rsidP="00DB2BA1">
            <w:pPr>
              <w:spacing w:after="20" w:line="259" w:lineRule="auto"/>
              <w:ind w:left="0" w:firstLine="0"/>
            </w:pPr>
            <w:r>
              <w:rPr>
                <w:b/>
                <w:sz w:val="17"/>
              </w:rPr>
              <w:t xml:space="preserve"> </w:t>
            </w:r>
            <w:r w:rsidR="00CA7814">
              <w:rPr>
                <w:b/>
                <w:sz w:val="17"/>
              </w:rPr>
              <w:t>Present</w:t>
            </w:r>
            <w:r w:rsidR="00DB2BA1">
              <w:rPr>
                <w:b/>
              </w:rPr>
              <w:t xml:space="preserve"> </w:t>
            </w:r>
            <w:r w:rsidR="00CA7814">
              <w:rPr>
                <w:b/>
                <w:sz w:val="17"/>
              </w:rPr>
              <w:t>Value (</w:t>
            </w:r>
            <w:r>
              <w:rPr>
                <w:b/>
                <w:sz w:val="17"/>
              </w:rPr>
              <w:t xml:space="preserve">$ </w:t>
            </w:r>
            <w:proofErr w:type="spellStart"/>
            <w:r>
              <w:rPr>
                <w:b/>
                <w:sz w:val="17"/>
              </w:rPr>
              <w:t>kUSD</w:t>
            </w:r>
            <w:proofErr w:type="spellEnd"/>
            <w:r w:rsidR="00CA7814">
              <w:rPr>
                <w:b/>
                <w:sz w:val="17"/>
              </w:rPr>
              <w:t>)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650D" w14:textId="76475945" w:rsidR="00CA7814" w:rsidRDefault="009E5E49" w:rsidP="00CA7814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 xml:space="preserve"> </w:t>
            </w:r>
            <w:r w:rsidR="00CA7814">
              <w:rPr>
                <w:b/>
                <w:sz w:val="17"/>
              </w:rPr>
              <w:t>Key Insight</w:t>
            </w:r>
          </w:p>
        </w:tc>
      </w:tr>
      <w:tr w:rsidR="00CA7814" w14:paraId="45338D9B" w14:textId="77777777" w:rsidTr="009E5E49">
        <w:trPr>
          <w:trHeight w:val="551"/>
        </w:trPr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1589" w14:textId="5883C496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CF6FF" w14:textId="77777777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-1,000.00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C6063" w14:textId="77777777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1.0000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AA84F" w14:textId="701D6D08" w:rsidR="00CA7814" w:rsidRPr="00DB2BA1" w:rsidRDefault="00CA7814" w:rsidP="00DB2BA1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DB2BA1">
              <w:rPr>
                <w:b/>
                <w:bCs/>
                <w:sz w:val="17"/>
              </w:rPr>
              <w:t>-1,000.00</w:t>
            </w:r>
            <w:r w:rsidR="00DB2BA1">
              <w:rPr>
                <w:b/>
                <w:bCs/>
                <w:sz w:val="17"/>
              </w:rPr>
              <w:t xml:space="preserve"> 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995D" w14:textId="33ECB1F6" w:rsidR="00CA7814" w:rsidRDefault="00DB2BA1" w:rsidP="00DB2BA1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 xml:space="preserve"> </w:t>
            </w:r>
            <w:r w:rsidR="00CA7814">
              <w:rPr>
                <w:sz w:val="17"/>
              </w:rPr>
              <w:t>Initial capital outlay.</w:t>
            </w:r>
          </w:p>
        </w:tc>
      </w:tr>
      <w:tr w:rsidR="00CA7814" w14:paraId="527C33E0" w14:textId="77777777" w:rsidTr="009E5E49">
        <w:trPr>
          <w:trHeight w:val="718"/>
        </w:trPr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40DB" w14:textId="77777777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1-3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057A4" w14:textId="3975EC35" w:rsidR="00CA7814" w:rsidRDefault="00CA7814" w:rsidP="00DB2BA1">
            <w:pPr>
              <w:spacing w:after="27" w:line="259" w:lineRule="auto"/>
              <w:ind w:left="0" w:firstLine="0"/>
              <w:jc w:val="center"/>
            </w:pPr>
            <w:r>
              <w:rPr>
                <w:sz w:val="17"/>
              </w:rPr>
              <w:t>+250 to</w:t>
            </w:r>
            <w:r w:rsidR="00DB2BA1">
              <w:t xml:space="preserve"> </w:t>
            </w:r>
            <w:r>
              <w:rPr>
                <w:sz w:val="17"/>
              </w:rPr>
              <w:t>+400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9C34" w14:textId="3380A14E" w:rsidR="00CA7814" w:rsidRDefault="00CA7814" w:rsidP="00DB2BA1">
            <w:pPr>
              <w:spacing w:after="19" w:line="259" w:lineRule="auto"/>
              <w:ind w:left="0" w:firstLine="0"/>
              <w:jc w:val="center"/>
            </w:pPr>
            <w:r>
              <w:rPr>
                <w:sz w:val="17"/>
              </w:rPr>
              <w:t>0.9091 to</w:t>
            </w:r>
            <w:r w:rsidR="00DB2BA1">
              <w:t xml:space="preserve"> </w:t>
            </w:r>
            <w:r>
              <w:rPr>
                <w:sz w:val="17"/>
              </w:rPr>
              <w:t>0.7513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E41A" w14:textId="77777777" w:rsidR="00DB2BA1" w:rsidRDefault="00CA7814" w:rsidP="00DB2BA1">
            <w:pPr>
              <w:spacing w:after="0" w:line="259" w:lineRule="auto"/>
              <w:ind w:left="0" w:right="319" w:firstLine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+817.06</w:t>
            </w:r>
            <w:r w:rsidR="00DB2BA1">
              <w:rPr>
                <w:b/>
                <w:sz w:val="17"/>
              </w:rPr>
              <w:t xml:space="preserve"> </w:t>
            </w:r>
          </w:p>
          <w:p w14:paraId="58786C87" w14:textId="70D7C9FD" w:rsidR="00CA7814" w:rsidRPr="00DB2BA1" w:rsidRDefault="00CA7814" w:rsidP="00DB2BA1">
            <w:pPr>
              <w:spacing w:after="0" w:line="259" w:lineRule="auto"/>
              <w:ind w:left="0" w:right="319" w:firstLine="0"/>
              <w:jc w:val="center"/>
              <w:rPr>
                <w:b/>
                <w:sz w:val="17"/>
              </w:rPr>
            </w:pPr>
            <w:r>
              <w:rPr>
                <w:sz w:val="17"/>
              </w:rPr>
              <w:t>(Total PV)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B89A5" w14:textId="77777777" w:rsidR="009E5E49" w:rsidRDefault="00DB2BA1" w:rsidP="00DB2BA1">
            <w:pPr>
              <w:spacing w:after="0" w:line="259" w:lineRule="auto"/>
              <w:ind w:left="0" w:firstLine="0"/>
              <w:jc w:val="both"/>
              <w:rPr>
                <w:sz w:val="17"/>
              </w:rPr>
            </w:pPr>
            <w:r>
              <w:rPr>
                <w:b/>
                <w:sz w:val="17"/>
              </w:rPr>
              <w:t xml:space="preserve"> </w:t>
            </w:r>
            <w:r w:rsidR="00CA7814">
              <w:rPr>
                <w:b/>
                <w:sz w:val="17"/>
              </w:rPr>
              <w:t>High Growth Phase:</w:t>
            </w:r>
            <w:r w:rsidR="00CA7814">
              <w:rPr>
                <w:sz w:val="17"/>
              </w:rPr>
              <w:t xml:space="preserve"> Strong early returns, </w:t>
            </w:r>
            <w:r w:rsidR="009E5E49">
              <w:rPr>
                <w:sz w:val="17"/>
              </w:rPr>
              <w:t xml:space="preserve"> </w:t>
            </w:r>
          </w:p>
          <w:p w14:paraId="1EE857C7" w14:textId="2C5C7A5A" w:rsidR="00CA7814" w:rsidRPr="009E5E49" w:rsidRDefault="009E5E49" w:rsidP="00DB2BA1">
            <w:pPr>
              <w:spacing w:after="0" w:line="259" w:lineRule="auto"/>
              <w:ind w:left="0" w:firstLine="0"/>
              <w:jc w:val="both"/>
              <w:rPr>
                <w:sz w:val="17"/>
              </w:rPr>
            </w:pPr>
            <w:r>
              <w:rPr>
                <w:sz w:val="17"/>
              </w:rPr>
              <w:t xml:space="preserve"> </w:t>
            </w:r>
            <w:r w:rsidR="00CA7814">
              <w:rPr>
                <w:sz w:val="17"/>
              </w:rPr>
              <w:t>capturing</w:t>
            </w:r>
            <w:r w:rsidR="00DB2BA1">
              <w:rPr>
                <w:sz w:val="17"/>
              </w:rPr>
              <w:t xml:space="preserve"> </w:t>
            </w:r>
            <w:r w:rsidR="00CA7814">
              <w:rPr>
                <w:sz w:val="17"/>
              </w:rPr>
              <w:t>81.7% of the initial investment's PV.</w:t>
            </w:r>
          </w:p>
        </w:tc>
      </w:tr>
      <w:tr w:rsidR="00CA7814" w14:paraId="15E65DF4" w14:textId="77777777" w:rsidTr="009E5E49">
        <w:trPr>
          <w:trHeight w:val="684"/>
        </w:trPr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F644" w14:textId="77777777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4-6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6AB27" w14:textId="45175D7B" w:rsidR="00CA7814" w:rsidRDefault="00CA7814" w:rsidP="00DB2BA1">
            <w:pPr>
              <w:spacing w:after="27" w:line="259" w:lineRule="auto"/>
              <w:ind w:left="0" w:firstLine="0"/>
              <w:jc w:val="center"/>
            </w:pPr>
            <w:r>
              <w:rPr>
                <w:sz w:val="17"/>
              </w:rPr>
              <w:t>+250 to</w:t>
            </w:r>
            <w:r w:rsidR="00DB2BA1">
              <w:t xml:space="preserve"> </w:t>
            </w:r>
            <w:r>
              <w:rPr>
                <w:sz w:val="17"/>
              </w:rPr>
              <w:t>+300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14E6" w14:textId="18E88DFA" w:rsidR="00CA7814" w:rsidRDefault="00CA7814" w:rsidP="00DB2BA1">
            <w:pPr>
              <w:spacing w:after="19" w:line="259" w:lineRule="auto"/>
              <w:ind w:left="0" w:firstLine="0"/>
              <w:jc w:val="center"/>
            </w:pPr>
            <w:r>
              <w:rPr>
                <w:sz w:val="17"/>
              </w:rPr>
              <w:t>0.6830 to</w:t>
            </w:r>
            <w:r w:rsidR="00DB2BA1">
              <w:t xml:space="preserve"> </w:t>
            </w:r>
            <w:r>
              <w:rPr>
                <w:sz w:val="17"/>
              </w:rPr>
              <w:t>0.5645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A8F3F" w14:textId="77777777" w:rsidR="00CA7814" w:rsidRDefault="00CA7814" w:rsidP="00DB2BA1">
            <w:pPr>
              <w:spacing w:after="24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+532.30</w:t>
            </w:r>
          </w:p>
          <w:p w14:paraId="03265FF9" w14:textId="77777777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(Total PV)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3311" w14:textId="77777777" w:rsidR="009E5E49" w:rsidRDefault="00DB2BA1" w:rsidP="00DB2BA1">
            <w:pPr>
              <w:spacing w:after="0" w:line="259" w:lineRule="auto"/>
              <w:ind w:left="0" w:firstLine="0"/>
              <w:jc w:val="both"/>
              <w:rPr>
                <w:sz w:val="17"/>
              </w:rPr>
            </w:pPr>
            <w:r>
              <w:rPr>
                <w:b/>
                <w:sz w:val="17"/>
              </w:rPr>
              <w:t xml:space="preserve"> </w:t>
            </w:r>
            <w:r w:rsidR="00CA7814">
              <w:rPr>
                <w:b/>
                <w:sz w:val="17"/>
              </w:rPr>
              <w:t>Maturity Phase:</w:t>
            </w:r>
            <w:r w:rsidR="00CA7814">
              <w:rPr>
                <w:sz w:val="17"/>
              </w:rPr>
              <w:t xml:space="preserve"> Stable, strong returns sustain</w:t>
            </w:r>
            <w:r w:rsidR="009E5E49">
              <w:rPr>
                <w:sz w:val="17"/>
              </w:rPr>
              <w:t xml:space="preserve"> </w:t>
            </w:r>
          </w:p>
          <w:p w14:paraId="723C7F23" w14:textId="4E44F2EF" w:rsidR="00CA7814" w:rsidRPr="009E5E49" w:rsidRDefault="009E5E49" w:rsidP="00DB2BA1">
            <w:pPr>
              <w:spacing w:after="0" w:line="259" w:lineRule="auto"/>
              <w:ind w:left="0" w:firstLine="0"/>
              <w:jc w:val="both"/>
              <w:rPr>
                <w:sz w:val="17"/>
              </w:rPr>
            </w:pPr>
            <w:r>
              <w:rPr>
                <w:sz w:val="17"/>
              </w:rPr>
              <w:t xml:space="preserve"> </w:t>
            </w:r>
            <w:r w:rsidR="00CA7814">
              <w:rPr>
                <w:sz w:val="17"/>
              </w:rPr>
              <w:t>project profitability.</w:t>
            </w:r>
          </w:p>
        </w:tc>
      </w:tr>
      <w:tr w:rsidR="00CA7814" w14:paraId="5462EB3B" w14:textId="77777777" w:rsidTr="009E5E49">
        <w:trPr>
          <w:trHeight w:val="708"/>
        </w:trPr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03FA" w14:textId="77777777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7-10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888C4" w14:textId="7DD88035" w:rsidR="00CA7814" w:rsidRDefault="00CA7814" w:rsidP="00DB2BA1">
            <w:pPr>
              <w:spacing w:after="28" w:line="259" w:lineRule="auto"/>
              <w:ind w:left="0" w:firstLine="0"/>
              <w:jc w:val="center"/>
            </w:pPr>
            <w:r>
              <w:rPr>
                <w:sz w:val="17"/>
              </w:rPr>
              <w:t>+50 to</w:t>
            </w:r>
            <w:r w:rsidR="00DB2BA1">
              <w:t xml:space="preserve"> </w:t>
            </w:r>
            <w:r>
              <w:rPr>
                <w:sz w:val="17"/>
              </w:rPr>
              <w:t>+200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531F" w14:textId="62091796" w:rsidR="00CA7814" w:rsidRDefault="00CA7814" w:rsidP="00DB2BA1">
            <w:pPr>
              <w:spacing w:after="19" w:line="259" w:lineRule="auto"/>
              <w:ind w:left="0" w:firstLine="0"/>
              <w:jc w:val="center"/>
            </w:pPr>
            <w:r>
              <w:rPr>
                <w:sz w:val="17"/>
              </w:rPr>
              <w:t>0.5132 to</w:t>
            </w:r>
            <w:r w:rsidR="00DB2BA1">
              <w:t xml:space="preserve"> </w:t>
            </w:r>
            <w:r>
              <w:rPr>
                <w:sz w:val="17"/>
              </w:rPr>
              <w:t>0.3855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88F4" w14:textId="77777777" w:rsidR="00CA7814" w:rsidRDefault="00CA7814" w:rsidP="00DB2BA1">
            <w:pPr>
              <w:spacing w:after="24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+234.29</w:t>
            </w:r>
          </w:p>
          <w:p w14:paraId="52D8D76D" w14:textId="77777777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(Total PV)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AC38" w14:textId="77777777" w:rsidR="00DB2BA1" w:rsidRDefault="00DB2BA1" w:rsidP="00DB2BA1">
            <w:pPr>
              <w:spacing w:after="0" w:line="259" w:lineRule="auto"/>
              <w:ind w:left="0" w:firstLine="0"/>
              <w:jc w:val="both"/>
              <w:rPr>
                <w:sz w:val="17"/>
              </w:rPr>
            </w:pPr>
            <w:r>
              <w:rPr>
                <w:b/>
                <w:sz w:val="17"/>
              </w:rPr>
              <w:t xml:space="preserve"> </w:t>
            </w:r>
            <w:r w:rsidR="00CA7814">
              <w:rPr>
                <w:b/>
                <w:sz w:val="17"/>
              </w:rPr>
              <w:t>Decline/Wind-Down:</w:t>
            </w:r>
            <w:r w:rsidR="00CA7814">
              <w:rPr>
                <w:sz w:val="17"/>
              </w:rPr>
              <w:t xml:space="preserve"> Residual value continues to</w:t>
            </w:r>
          </w:p>
          <w:p w14:paraId="63CD41D1" w14:textId="021FB47E" w:rsidR="00CA7814" w:rsidRDefault="00DB2BA1" w:rsidP="00DB2BA1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 xml:space="preserve"> </w:t>
            </w:r>
            <w:r w:rsidR="00CA7814">
              <w:rPr>
                <w:sz w:val="17"/>
              </w:rPr>
              <w:t>add a positive NPV contribution.</w:t>
            </w:r>
          </w:p>
        </w:tc>
      </w:tr>
      <w:tr w:rsidR="00CA7814" w14:paraId="6ECAB17A" w14:textId="77777777" w:rsidTr="009E5E49">
        <w:trPr>
          <w:trHeight w:val="547"/>
        </w:trPr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822EB" w14:textId="77777777" w:rsidR="00DB2BA1" w:rsidRDefault="00DB2BA1" w:rsidP="00DB2BA1">
            <w:pPr>
              <w:spacing w:after="19" w:line="259" w:lineRule="auto"/>
              <w:ind w:left="0" w:firstLine="0"/>
              <w:rPr>
                <w:b/>
                <w:sz w:val="17"/>
              </w:rPr>
            </w:pPr>
          </w:p>
          <w:p w14:paraId="4A5F2878" w14:textId="2C508B95" w:rsidR="00CA7814" w:rsidRDefault="00CA7814" w:rsidP="00DB2BA1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64C7" w14:textId="77777777" w:rsidR="00CA7814" w:rsidRDefault="00CA7814" w:rsidP="00DB2BA1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F053" w14:textId="77777777" w:rsidR="00CA7814" w:rsidRDefault="00CA7814" w:rsidP="00DB2BA1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E6550" w14:textId="77777777" w:rsidR="00CA7814" w:rsidRDefault="00CA7814" w:rsidP="00DB2B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+742.01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C4F383" w14:textId="77777777" w:rsidR="00DB2BA1" w:rsidRDefault="00DB2BA1" w:rsidP="00DB2BA1">
            <w:pPr>
              <w:spacing w:after="0" w:line="259" w:lineRule="auto"/>
              <w:ind w:left="0" w:firstLine="0"/>
              <w:jc w:val="both"/>
              <w:rPr>
                <w:sz w:val="17"/>
              </w:rPr>
            </w:pPr>
            <w:r>
              <w:rPr>
                <w:sz w:val="17"/>
              </w:rPr>
              <w:t xml:space="preserve"> </w:t>
            </w:r>
            <w:r w:rsidR="00CA7814">
              <w:rPr>
                <w:sz w:val="17"/>
              </w:rPr>
              <w:t>The total positive PV far outweighs the negative</w:t>
            </w:r>
          </w:p>
          <w:p w14:paraId="57017AA3" w14:textId="26DA8993" w:rsidR="00CA7814" w:rsidRPr="00CA7814" w:rsidRDefault="00DB2BA1" w:rsidP="00DB2BA1">
            <w:pPr>
              <w:spacing w:after="0" w:line="259" w:lineRule="auto"/>
              <w:ind w:left="0" w:firstLine="0"/>
              <w:jc w:val="both"/>
              <w:rPr>
                <w:sz w:val="17"/>
              </w:rPr>
            </w:pPr>
            <w:r>
              <w:rPr>
                <w:sz w:val="17"/>
              </w:rPr>
              <w:t xml:space="preserve"> </w:t>
            </w:r>
            <w:r w:rsidR="00CA7814">
              <w:rPr>
                <w:sz w:val="17"/>
              </w:rPr>
              <w:t>initial investment.</w:t>
            </w:r>
          </w:p>
        </w:tc>
      </w:tr>
      <w:tr w:rsidR="00CA7814" w14:paraId="0A928CCF" w14:textId="77777777" w:rsidTr="009E5E49">
        <w:trPr>
          <w:trHeight w:val="46"/>
        </w:trPr>
        <w:tc>
          <w:tcPr>
            <w:tcW w:w="174" w:type="dxa"/>
            <w:vMerge w:val="restart"/>
            <w:vAlign w:val="bottom"/>
          </w:tcPr>
          <w:p w14:paraId="1515375F" w14:textId="77777777" w:rsidR="00CA7814" w:rsidRDefault="00CA7814" w:rsidP="00CA7814">
            <w:pPr>
              <w:spacing w:after="19" w:line="259" w:lineRule="auto"/>
              <w:ind w:left="0" w:firstLine="0"/>
              <w:rPr>
                <w:b/>
                <w:sz w:val="17"/>
              </w:rPr>
            </w:pPr>
          </w:p>
        </w:tc>
        <w:tc>
          <w:tcPr>
            <w:tcW w:w="2089" w:type="dxa"/>
            <w:gridSpan w:val="2"/>
            <w:tcBorders>
              <w:left w:val="nil"/>
              <w:right w:val="single" w:sz="4" w:space="0" w:color="auto"/>
              <w:tl2br w:val="nil"/>
              <w:tr2bl w:val="nil"/>
            </w:tcBorders>
            <w:textDirection w:val="tbRlV"/>
            <w:vAlign w:val="center"/>
          </w:tcPr>
          <w:p w14:paraId="33DB3C08" w14:textId="77777777" w:rsidR="00CA7814" w:rsidRDefault="00CA7814" w:rsidP="00CA7814">
            <w:pPr>
              <w:spacing w:after="160" w:line="259" w:lineRule="auto"/>
              <w:ind w:left="113" w:right="113" w:firstLine="0"/>
            </w:pPr>
          </w:p>
        </w:tc>
        <w:tc>
          <w:tcPr>
            <w:tcW w:w="6881" w:type="dxa"/>
            <w:gridSpan w:val="3"/>
            <w:vMerge w:val="restart"/>
            <w:tcBorders>
              <w:left w:val="nil"/>
            </w:tcBorders>
          </w:tcPr>
          <w:p w14:paraId="5C0D701A" w14:textId="77777777" w:rsidR="00CA7814" w:rsidRDefault="00CA7814" w:rsidP="00CA7814">
            <w:pPr>
              <w:spacing w:after="0" w:line="259" w:lineRule="auto"/>
              <w:ind w:left="0" w:firstLine="0"/>
              <w:rPr>
                <w:sz w:val="17"/>
              </w:rPr>
            </w:pPr>
          </w:p>
        </w:tc>
      </w:tr>
      <w:tr w:rsidR="00CA7814" w14:paraId="060DE1C5" w14:textId="77777777" w:rsidTr="009E5E49">
        <w:trPr>
          <w:trHeight w:val="219"/>
        </w:trPr>
        <w:tc>
          <w:tcPr>
            <w:tcW w:w="174" w:type="dxa"/>
            <w:vMerge/>
            <w:tcBorders>
              <w:right w:val="nil"/>
            </w:tcBorders>
            <w:vAlign w:val="bottom"/>
          </w:tcPr>
          <w:p w14:paraId="7C758059" w14:textId="77777777" w:rsidR="00CA7814" w:rsidRDefault="00CA7814" w:rsidP="00CA7814">
            <w:pPr>
              <w:spacing w:after="19" w:line="259" w:lineRule="auto"/>
              <w:ind w:left="0" w:firstLine="0"/>
              <w:rPr>
                <w:b/>
                <w:sz w:val="17"/>
              </w:rPr>
            </w:pPr>
          </w:p>
        </w:tc>
        <w:tc>
          <w:tcPr>
            <w:tcW w:w="529" w:type="dxa"/>
            <w:tcBorders>
              <w:left w:val="nil"/>
              <w:right w:val="nil"/>
              <w:tl2br w:val="nil"/>
              <w:tr2bl w:val="nil"/>
            </w:tcBorders>
            <w:vAlign w:val="bottom"/>
          </w:tcPr>
          <w:p w14:paraId="42C9C23B" w14:textId="77777777" w:rsidR="00CA7814" w:rsidRDefault="00CA7814" w:rsidP="00CA7814">
            <w:pPr>
              <w:spacing w:after="19" w:line="259" w:lineRule="auto"/>
              <w:ind w:left="0" w:firstLine="0"/>
              <w:rPr>
                <w:b/>
                <w:sz w:val="17"/>
              </w:rPr>
            </w:pPr>
          </w:p>
        </w:tc>
        <w:tc>
          <w:tcPr>
            <w:tcW w:w="1560" w:type="dxa"/>
            <w:tcBorders>
              <w:left w:val="nil"/>
              <w:right w:val="nil"/>
              <w:tl2br w:val="nil"/>
              <w:tr2bl w:val="nil"/>
            </w:tcBorders>
          </w:tcPr>
          <w:p w14:paraId="512D1A7D" w14:textId="77777777" w:rsidR="00CA7814" w:rsidRDefault="00CA7814" w:rsidP="00CA7814">
            <w:pPr>
              <w:spacing w:after="160" w:line="259" w:lineRule="auto"/>
              <w:ind w:left="0" w:firstLine="0"/>
            </w:pPr>
          </w:p>
        </w:tc>
        <w:tc>
          <w:tcPr>
            <w:tcW w:w="6881" w:type="dxa"/>
            <w:gridSpan w:val="3"/>
            <w:vMerge/>
            <w:tcBorders>
              <w:left w:val="nil"/>
            </w:tcBorders>
          </w:tcPr>
          <w:p w14:paraId="61A15A31" w14:textId="77777777" w:rsidR="00CA7814" w:rsidRDefault="00CA7814" w:rsidP="00CA7814">
            <w:pPr>
              <w:spacing w:after="0" w:line="259" w:lineRule="auto"/>
              <w:ind w:left="0" w:firstLine="0"/>
              <w:rPr>
                <w:sz w:val="17"/>
              </w:rPr>
            </w:pPr>
          </w:p>
        </w:tc>
      </w:tr>
    </w:tbl>
    <w:p w14:paraId="496AF9BF" w14:textId="77777777" w:rsidR="00BA4394" w:rsidRDefault="00000000">
      <w:pPr>
        <w:spacing w:after="145" w:line="259" w:lineRule="auto"/>
        <w:ind w:left="0" w:firstLine="0"/>
      </w:pPr>
      <w:r>
        <w:t>This analysis is based on a structured 10-year cash flow forecast, reflecting distinct project phases:</w:t>
      </w:r>
    </w:p>
    <w:p w14:paraId="14B96238" w14:textId="77777777" w:rsidR="009E5E49" w:rsidRDefault="00000000" w:rsidP="009E5E49">
      <w:pPr>
        <w:pStyle w:val="Heading1"/>
        <w:spacing w:after="324"/>
        <w:ind w:left="263" w:hanging="278"/>
      </w:pPr>
      <w:r>
        <w:t>Key Takeaways &amp; Next Steps</w:t>
      </w:r>
    </w:p>
    <w:p w14:paraId="7A50D002" w14:textId="4C55DAD8" w:rsidR="00BA4394" w:rsidRPr="004E6813" w:rsidRDefault="00000000" w:rsidP="009E5E49">
      <w:pPr>
        <w:pStyle w:val="Heading1"/>
        <w:numPr>
          <w:ilvl w:val="0"/>
          <w:numId w:val="0"/>
        </w:numPr>
        <w:spacing w:after="0"/>
        <w:rPr>
          <w:sz w:val="22"/>
          <w:szCs w:val="22"/>
        </w:rPr>
      </w:pPr>
      <w:r w:rsidRPr="004E6813">
        <w:rPr>
          <w:sz w:val="22"/>
          <w:szCs w:val="22"/>
        </w:rPr>
        <w:t>Takeaways:</w:t>
      </w:r>
    </w:p>
    <w:p w14:paraId="0948C747" w14:textId="77777777" w:rsidR="00BA4394" w:rsidRDefault="00000000">
      <w:pPr>
        <w:numPr>
          <w:ilvl w:val="0"/>
          <w:numId w:val="1"/>
        </w:numPr>
      </w:pPr>
      <w:r>
        <w:rPr>
          <w:b/>
        </w:rPr>
        <w:t>High Margin of Safety:</w:t>
      </w:r>
      <w:r>
        <w:t xml:space="preserve"> The 15.05% premium of IRR over the Cost of Capital provides a strong buffer against potential variations in expected cash flows.</w:t>
      </w:r>
    </w:p>
    <w:p w14:paraId="4811ADA8" w14:textId="77777777" w:rsidR="00BA4394" w:rsidRDefault="00000000" w:rsidP="009E5E49">
      <w:pPr>
        <w:numPr>
          <w:ilvl w:val="0"/>
          <w:numId w:val="1"/>
        </w:numPr>
        <w:spacing w:after="0"/>
      </w:pPr>
      <w:r>
        <w:rPr>
          <w:b/>
        </w:rPr>
        <w:t>Rapid Value Creation:</w:t>
      </w:r>
      <w:r>
        <w:t xml:space="preserve"> The project recovers a significant portion of its present value early in the lifecycle (Years 1-3), de-risking the overall investment profile.</w:t>
      </w:r>
    </w:p>
    <w:p w14:paraId="693FEF14" w14:textId="77777777" w:rsidR="00BA4394" w:rsidRDefault="00000000" w:rsidP="009E5E49">
      <w:pPr>
        <w:spacing w:after="0" w:line="259" w:lineRule="auto"/>
        <w:ind w:left="-5" w:hanging="10"/>
      </w:pPr>
      <w:r>
        <w:rPr>
          <w:b/>
        </w:rPr>
        <w:t>Next Steps:</w:t>
      </w:r>
    </w:p>
    <w:p w14:paraId="54C3C56E" w14:textId="77777777" w:rsidR="00BA4394" w:rsidRDefault="00000000">
      <w:pPr>
        <w:ind w:left="419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7DCB4A" wp14:editId="31ECC800">
                <wp:extent cx="38475" cy="38475"/>
                <wp:effectExtent l="0" t="0" r="0" b="0"/>
                <wp:docPr id="1545" name="Group 1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75" cy="38475"/>
                          <a:chOff x="0" y="0"/>
                          <a:chExt cx="38475" cy="38475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38475" cy="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75" h="38475">
                                <a:moveTo>
                                  <a:pt x="19237" y="0"/>
                                </a:moveTo>
                                <a:cubicBezTo>
                                  <a:pt x="21788" y="0"/>
                                  <a:pt x="24242" y="488"/>
                                  <a:pt x="26599" y="1464"/>
                                </a:cubicBezTo>
                                <a:cubicBezTo>
                                  <a:pt x="28956" y="2440"/>
                                  <a:pt x="31036" y="3830"/>
                                  <a:pt x="32840" y="5634"/>
                                </a:cubicBezTo>
                                <a:cubicBezTo>
                                  <a:pt x="34644" y="7438"/>
                                  <a:pt x="36034" y="9518"/>
                                  <a:pt x="37010" y="11875"/>
                                </a:cubicBezTo>
                                <a:cubicBezTo>
                                  <a:pt x="37986" y="14232"/>
                                  <a:pt x="38475" y="16686"/>
                                  <a:pt x="38475" y="19237"/>
                                </a:cubicBezTo>
                                <a:cubicBezTo>
                                  <a:pt x="38475" y="21788"/>
                                  <a:pt x="37986" y="24242"/>
                                  <a:pt x="37010" y="26599"/>
                                </a:cubicBezTo>
                                <a:cubicBezTo>
                                  <a:pt x="36034" y="28956"/>
                                  <a:pt x="34644" y="31036"/>
                                  <a:pt x="32840" y="32840"/>
                                </a:cubicBezTo>
                                <a:cubicBezTo>
                                  <a:pt x="31036" y="34644"/>
                                  <a:pt x="28956" y="36034"/>
                                  <a:pt x="26599" y="37010"/>
                                </a:cubicBezTo>
                                <a:cubicBezTo>
                                  <a:pt x="24242" y="37986"/>
                                  <a:pt x="21788" y="38474"/>
                                  <a:pt x="19237" y="38475"/>
                                </a:cubicBezTo>
                                <a:cubicBezTo>
                                  <a:pt x="16686" y="38474"/>
                                  <a:pt x="14232" y="37986"/>
                                  <a:pt x="11875" y="37010"/>
                                </a:cubicBezTo>
                                <a:cubicBezTo>
                                  <a:pt x="9519" y="36034"/>
                                  <a:pt x="7438" y="34644"/>
                                  <a:pt x="5634" y="32840"/>
                                </a:cubicBezTo>
                                <a:cubicBezTo>
                                  <a:pt x="3830" y="31036"/>
                                  <a:pt x="2441" y="28956"/>
                                  <a:pt x="1464" y="26599"/>
                                </a:cubicBezTo>
                                <a:cubicBezTo>
                                  <a:pt x="488" y="24242"/>
                                  <a:pt x="0" y="21788"/>
                                  <a:pt x="0" y="19237"/>
                                </a:cubicBezTo>
                                <a:cubicBezTo>
                                  <a:pt x="0" y="16686"/>
                                  <a:pt x="488" y="14232"/>
                                  <a:pt x="1464" y="11875"/>
                                </a:cubicBezTo>
                                <a:cubicBezTo>
                                  <a:pt x="2441" y="9518"/>
                                  <a:pt x="3830" y="7438"/>
                                  <a:pt x="5634" y="5634"/>
                                </a:cubicBezTo>
                                <a:cubicBezTo>
                                  <a:pt x="7438" y="3830"/>
                                  <a:pt x="9519" y="2440"/>
                                  <a:pt x="11875" y="1464"/>
                                </a:cubicBezTo>
                                <a:cubicBezTo>
                                  <a:pt x="14232" y="488"/>
                                  <a:pt x="16686" y="0"/>
                                  <a:pt x="192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5" style="width:3.0295pt;height:3.0295pt;mso-position-horizontal-relative:char;mso-position-vertical-relative:line" coordsize="384,384">
                <v:shape id="Shape 250" style="position:absolute;width:384;height:384;left:0;top:0;" coordsize="38475,38475" path="m19237,0c21788,0,24242,488,26599,1464c28956,2440,31036,3830,32840,5634c34644,7438,36034,9518,37010,11875c37986,14232,38475,16686,38475,19237c38475,21788,37986,24242,37010,26599c36034,28956,34644,31036,32840,32840c31036,34644,28956,36034,26599,37010c24242,37986,21788,38474,19237,38475c16686,38474,14232,37986,11875,37010c9519,36034,7438,34644,5634,32840c3830,31036,2441,28956,1464,26599c488,24242,0,21788,0,19237c0,16686,488,14232,1464,11875c2441,9518,3830,7438,5634,5634c7438,3830,9519,2440,11875,1464c14232,488,16686,0,19237,0x">
                  <v:stroke weight="0pt" endcap="flat" joinstyle="miter" miterlimit="10" on="false" color="#000000" opacity="0"/>
                  <v:fill on="true" color="#1b1c1d"/>
                </v:shape>
              </v:group>
            </w:pict>
          </mc:Fallback>
        </mc:AlternateContent>
      </w:r>
      <w:r>
        <w:rPr>
          <w:b/>
        </w:rPr>
        <w:tab/>
        <w:t>Sensitivity Analysis:</w:t>
      </w:r>
      <w:r>
        <w:t xml:space="preserve"> Conduct "what-if" scenarios to test the impact of a </w:t>
      </w:r>
      <w:r>
        <w:rPr>
          <w:sz w:val="23"/>
        </w:rPr>
        <w:t>±2%</w:t>
      </w:r>
      <w:r>
        <w:t xml:space="preserve"> shift in the Cost of Capital (Discount Rate) on the final NPV.</w:t>
      </w:r>
    </w:p>
    <w:p w14:paraId="7579EDC4" w14:textId="1FBBD4CC" w:rsidR="00BA4394" w:rsidRDefault="00000000">
      <w:pPr>
        <w:ind w:left="419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C173FA" wp14:editId="0F8B1EB5">
                <wp:extent cx="38475" cy="38475"/>
                <wp:effectExtent l="0" t="0" r="0" b="0"/>
                <wp:docPr id="1546" name="Group 1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75" cy="38475"/>
                          <a:chOff x="0" y="0"/>
                          <a:chExt cx="38475" cy="38475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38475" cy="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75" h="38475">
                                <a:moveTo>
                                  <a:pt x="19237" y="0"/>
                                </a:moveTo>
                                <a:cubicBezTo>
                                  <a:pt x="21788" y="0"/>
                                  <a:pt x="24242" y="488"/>
                                  <a:pt x="26599" y="1464"/>
                                </a:cubicBezTo>
                                <a:cubicBezTo>
                                  <a:pt x="28956" y="2440"/>
                                  <a:pt x="31036" y="3830"/>
                                  <a:pt x="32840" y="5634"/>
                                </a:cubicBezTo>
                                <a:cubicBezTo>
                                  <a:pt x="34644" y="7438"/>
                                  <a:pt x="36034" y="9518"/>
                                  <a:pt x="37010" y="11875"/>
                                </a:cubicBezTo>
                                <a:cubicBezTo>
                                  <a:pt x="37986" y="14232"/>
                                  <a:pt x="38475" y="16686"/>
                                  <a:pt x="38475" y="19237"/>
                                </a:cubicBezTo>
                                <a:cubicBezTo>
                                  <a:pt x="38475" y="21788"/>
                                  <a:pt x="37986" y="24242"/>
                                  <a:pt x="37010" y="26599"/>
                                </a:cubicBezTo>
                                <a:cubicBezTo>
                                  <a:pt x="36034" y="28956"/>
                                  <a:pt x="34644" y="31036"/>
                                  <a:pt x="32840" y="32840"/>
                                </a:cubicBezTo>
                                <a:cubicBezTo>
                                  <a:pt x="31036" y="34644"/>
                                  <a:pt x="28956" y="36034"/>
                                  <a:pt x="26599" y="37010"/>
                                </a:cubicBezTo>
                                <a:cubicBezTo>
                                  <a:pt x="24242" y="37986"/>
                                  <a:pt x="21788" y="38474"/>
                                  <a:pt x="19237" y="38475"/>
                                </a:cubicBezTo>
                                <a:cubicBezTo>
                                  <a:pt x="16686" y="38474"/>
                                  <a:pt x="14232" y="37986"/>
                                  <a:pt x="11875" y="37010"/>
                                </a:cubicBezTo>
                                <a:cubicBezTo>
                                  <a:pt x="9519" y="36034"/>
                                  <a:pt x="7438" y="34644"/>
                                  <a:pt x="5634" y="32840"/>
                                </a:cubicBezTo>
                                <a:cubicBezTo>
                                  <a:pt x="3830" y="31036"/>
                                  <a:pt x="2441" y="28956"/>
                                  <a:pt x="1464" y="26599"/>
                                </a:cubicBezTo>
                                <a:cubicBezTo>
                                  <a:pt x="488" y="24242"/>
                                  <a:pt x="0" y="21788"/>
                                  <a:pt x="0" y="19237"/>
                                </a:cubicBezTo>
                                <a:cubicBezTo>
                                  <a:pt x="0" y="16686"/>
                                  <a:pt x="488" y="14232"/>
                                  <a:pt x="1464" y="11875"/>
                                </a:cubicBezTo>
                                <a:cubicBezTo>
                                  <a:pt x="2441" y="9518"/>
                                  <a:pt x="3830" y="7438"/>
                                  <a:pt x="5634" y="5634"/>
                                </a:cubicBezTo>
                                <a:cubicBezTo>
                                  <a:pt x="7438" y="3830"/>
                                  <a:pt x="9519" y="2440"/>
                                  <a:pt x="11875" y="1464"/>
                                </a:cubicBezTo>
                                <a:cubicBezTo>
                                  <a:pt x="14232" y="488"/>
                                  <a:pt x="16686" y="0"/>
                                  <a:pt x="192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6" style="width:3.0295pt;height:3.0295pt;mso-position-horizontal-relative:char;mso-position-vertical-relative:line" coordsize="384,384">
                <v:shape id="Shape 255" style="position:absolute;width:384;height:384;left:0;top:0;" coordsize="38475,38475" path="m19237,0c21788,0,24242,488,26599,1464c28956,2440,31036,3830,32840,5634c34644,7438,36034,9518,37010,11875c37986,14232,38475,16686,38475,19237c38475,21788,37986,24242,37010,26599c36034,28956,34644,31036,32840,32840c31036,34644,28956,36034,26599,37010c24242,37986,21788,38474,19237,38475c16686,38474,14232,37986,11875,37010c9519,36034,7438,34644,5634,32840c3830,31036,2441,28956,1464,26599c488,24242,0,21788,0,19237c0,16686,488,14232,1464,11875c2441,9518,3830,7438,5634,5634c7438,3830,9519,2440,11875,1464c14232,488,16686,0,19237,0x">
                  <v:stroke weight="0pt" endcap="flat" joinstyle="miter" miterlimit="10" on="false" color="#000000" opacity="0"/>
                  <v:fill on="true" color="#1b1c1d"/>
                </v:shape>
              </v:group>
            </w:pict>
          </mc:Fallback>
        </mc:AlternateContent>
      </w:r>
      <w:r>
        <w:rPr>
          <w:b/>
        </w:rPr>
        <w:tab/>
        <w:t>Contingency Planning:</w:t>
      </w:r>
      <w:r>
        <w:t xml:space="preserve"> Develop a mitigation strategy for the potential decline in cash flows observed in Years 7-1</w:t>
      </w:r>
      <w:r w:rsidR="009E5E49">
        <w:t>0.</w:t>
      </w:r>
    </w:p>
    <w:sectPr w:rsidR="00BA4394">
      <w:pgSz w:w="11899" w:h="16838"/>
      <w:pgMar w:top="645" w:right="1477" w:bottom="640" w:left="13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F271D"/>
    <w:multiLevelType w:val="hybridMultilevel"/>
    <w:tmpl w:val="3B9E86D0"/>
    <w:lvl w:ilvl="0" w:tplc="6406A604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8DC1E26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1AC173A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122E062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8DAFBDA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D4E81CE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B8874BA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0D29C96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060608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1B1C1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4F27D4"/>
    <w:multiLevelType w:val="hybridMultilevel"/>
    <w:tmpl w:val="7194A942"/>
    <w:lvl w:ilvl="0" w:tplc="F77269EE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8AD3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5C95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C46A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210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C83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21B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CCB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9800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2683776">
    <w:abstractNumId w:val="0"/>
  </w:num>
  <w:num w:numId="2" w16cid:durableId="17681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394"/>
    <w:rsid w:val="002B7810"/>
    <w:rsid w:val="004A2E33"/>
    <w:rsid w:val="004E6813"/>
    <w:rsid w:val="009E5E49"/>
    <w:rsid w:val="00AA29BA"/>
    <w:rsid w:val="00B419F0"/>
    <w:rsid w:val="00BA4394"/>
    <w:rsid w:val="00CA7814"/>
    <w:rsid w:val="00DB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B35B"/>
  <w15:docId w15:val="{FB77351E-A59E-4D4E-8D18-8743835B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353" w:lineRule="auto"/>
      <w:ind w:left="313" w:hanging="313"/>
    </w:pPr>
    <w:rPr>
      <w:rFonts w:ascii="Calibri" w:eastAsia="Calibri" w:hAnsi="Calibri" w:cs="Calibri"/>
      <w:color w:val="1B1C1D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04" w:line="260" w:lineRule="auto"/>
      <w:ind w:left="10" w:hanging="10"/>
      <w:outlineLvl w:val="0"/>
    </w:pPr>
    <w:rPr>
      <w:rFonts w:ascii="Calibri" w:eastAsia="Calibri" w:hAnsi="Calibri" w:cs="Calibri"/>
      <w:b/>
      <w:color w:val="1B1C1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B1C1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B2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Google Gemini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:subject/>
  <dc:creator>Rishu Raina</dc:creator>
  <cp:keywords/>
  <cp:lastModifiedBy>Rishu Raina</cp:lastModifiedBy>
  <cp:revision>5</cp:revision>
  <cp:lastPrinted>2025-11-01T09:58:00Z</cp:lastPrinted>
  <dcterms:created xsi:type="dcterms:W3CDTF">2025-11-01T09:58:00Z</dcterms:created>
  <dcterms:modified xsi:type="dcterms:W3CDTF">2026-04-21T14:35:00Z</dcterms:modified>
</cp:coreProperties>
</file>