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 xml:space="preserve">6. The value of x for which the matrix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  <w:r>
        <w:t xml:space="preserve"> is skew-symmetric, is:</w:t>
        <w:br/>
        <w:t>(a) 3   (b) -3   (c) 2   (d) -2</w:t>
      </w:r>
    </w:p>
    <w:p>
      <w:pPr>
        <w:spacing w:after="80"/>
      </w:pPr>
      <w:r>
        <w:t>28. Using minors and cofactors, evaluate the determinant:</w:t>
        <w:br/>
        <w:t xml:space="preserve">    |A| = </w:t>
      </w:r>
      <m:oMath>
        <m:d>
          <m:dPr>
            <m:begChr m:val="|"/>
            <m:endChr m:val="|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5</m:t>
                  </m:r>
                </m:e>
                <m:e>
                  <m:r>
                    <m:rPr>
                      <m:scr m:val="roman"/>
                      <m:sty m:val="p"/>
                    </m:rPr>
                    <m:t>6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