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mbria" w:cs="Cambria" w:eastAsia="Cambria" w:hAnsi="Cambria"/>
          <w:b/>
          <w:bCs/>
          <w:color w:val="17836F"/>
          <w:spacing w:val="40"/>
          <w:sz w:val="30"/>
          <w:szCs w:val="30"/>
        </w:rPr>
        <w:t xml:space="preserve">BZK-VIZIAI</w:t>
      </w:r>
    </w:p>
    <w:p>
      <w:pPr>
        <w:pBdr>
          <w:bottom w:val="single" w:color="17836F" w:sz="12" w:space="8"/>
        </w:pBdr>
        <w:spacing w:after="500" w:before="60"/>
      </w:pPr>
      <w:r>
        <w:rPr>
          <w:rFonts w:ascii="Calibri" w:cs="Calibri" w:eastAsia="Calibri" w:hAnsi="Calibri"/>
          <w:color w:val="6A757C"/>
          <w:sz w:val="20"/>
          <w:szCs w:val="20"/>
        </w:rPr>
        <w:t xml:space="preserve">Видеоаналитика производственной безопасности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B2429"/>
          <w:sz w:val="54"/>
          <w:szCs w:val="54"/>
        </w:rPr>
        <w:t xml:space="preserve">Юридическое оформление проекта</w:t>
      </w:r>
    </w:p>
    <w:p>
      <w:pPr>
        <w:spacing w:after="700"/>
      </w:pPr>
      <w:r>
        <w:rPr>
          <w:rFonts w:ascii="Calibri" w:cs="Calibri" w:eastAsia="Calibri" w:hAnsi="Calibri"/>
          <w:color w:val="6A757C"/>
          <w:sz w:val="24"/>
          <w:szCs w:val="24"/>
        </w:rPr>
        <w:t xml:space="preserve">Что нужно сделать до первой продажи: форма организации, права на код, персональные данные, договоры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Документ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Внутренний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Версия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1.0 от 25.07.2026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Кому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Владельцу проекта</w:t>
      </w:r>
    </w:p>
    <w:p>
      <w:pPr>
        <w:tabs>
          <w:tab w:val="left" w:pos="2600"/>
        </w:tabs>
        <w:spacing w:after="70"/>
      </w:pPr>
      <w:r>
        <w:rPr>
          <w:rFonts w:ascii="Calibri" w:cs="Calibri" w:eastAsia="Calibri" w:hAnsi="Calibri"/>
          <w:color w:val="6A757C"/>
          <w:sz w:val="19"/>
          <w:szCs w:val="19"/>
        </w:rPr>
        <w:t xml:space="preserve">Статус</w:t>
      </w:r>
      <w:r>
        <w:rPr>
          <w:rFonts w:ascii="Calibri" w:cs="Calibri" w:eastAsia="Calibri" w:hAnsi="Calibri"/>
          <w:color w:val="1B2429"/>
          <w:sz w:val="19"/>
          <w:szCs w:val="19"/>
        </w:rPr>
        <w:t xml:space="preserve">	Рабочий документ</w:t>
      </w:r>
    </w:p>
    <w:p>
      <w:pPr>
        <w:pBdr>
          <w:top w:val="single" w:color="C9D3D1" w:sz="6" w:space="8"/>
        </w:pBdr>
        <w:spacing w:before="900"/>
      </w:pPr>
      <w:r>
        <w:rPr>
          <w:rFonts w:ascii="Calibri" w:cs="Calibri" w:eastAsia="Calibri" w:hAnsi="Calibri"/>
          <w:i/>
          <w:iCs/>
          <w:color w:val="6A757C"/>
          <w:sz w:val="17"/>
          <w:szCs w:val="17"/>
        </w:rPr>
        <w:t xml:space="preserve">Не является юридическим заключением. Пункты с пометкой «к юристу» требуют проверки практикующим юристом до первой сделки. Размеры пошлин и ставок приведены как ориентир и подлежат сверке с действующей редакцией.</w:t>
      </w:r>
    </w:p>
    <w:p>
      <w:r>
        <w:br w:type="pag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Назначение: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привести проект в состояние, в котором с ним можно приходить к предприятию, подписывать договор и получать деньги без правовых рисков для обеих сторон.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Статус: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рабочий документ владельца. Не является юридическим заключением. Пункты, помеченные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[к юристу]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требуют проверки практикующим юристом до первой сделки вне круга знакомых. Размеры пошлин, ставок и сроков приведены как ориентир и подлежат сверке с действующей редакцией НК РФ и подзаконных актов на дату действия.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0. Резюме: пять действий в порядке приоритета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675"/>
        <w:gridCol w:w="3192"/>
        <w:gridCol w:w="3830"/>
        <w:gridCol w:w="1942"/>
      </w:tblGrid>
      <w:tr>
        <w:trPr>
          <w:cantSplit/>
          <w:tblHeader/>
        </w:trPr>
        <w:tc>
          <w:tcPr>
            <w:tcW w:type="dxa" w:w="67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№</w:t>
            </w:r>
          </w:p>
        </w:tc>
        <w:tc>
          <w:tcPr>
            <w:tcW w:type="dxa" w:w="319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383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Почему это блокер</w:t>
            </w:r>
          </w:p>
        </w:tc>
        <w:tc>
          <w:tcPr>
            <w:tcW w:type="dxa" w:w="194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Срок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</w:t>
            </w:r>
          </w:p>
        </w:tc>
        <w:tc>
          <w:tcPr>
            <w:tcW w:type="dxa" w:w="31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Закрыть вопрос лицензии Ultralytics (AGPL-3.0)</w:t>
            </w:r>
          </w:p>
        </w:tc>
        <w:tc>
          <w:tcPr>
            <w:tcW w:type="dxa" w:w="38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Продажа on-premise и SaaS на AGPL-компоненте без коммерческой лицензии обязывает раскрыть исходный код всей платформы. Блокирует Реестр отечественного ПО и любой ИБ-аудит завода</w:t>
            </w:r>
          </w:p>
        </w:tc>
        <w:tc>
          <w:tcPr>
            <w:tcW w:type="dxa" w:w="19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 первой продажи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</w:t>
            </w:r>
          </w:p>
        </w:tc>
        <w:tc>
          <w:tcPr>
            <w:tcW w:type="dxa" w:w="31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Зарегистрировать ООО</w:t>
            </w:r>
          </w:p>
        </w:tc>
        <w:tc>
          <w:tcPr>
            <w:tcW w:type="dxa" w:w="38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Завод не заключит договор на систему промышленной безопасности с физлицом или ИП без опыта; НДС, тендеры, аккредитация — всё требует юрлица</w:t>
            </w:r>
          </w:p>
        </w:tc>
        <w:tc>
          <w:tcPr>
            <w:tcW w:type="dxa" w:w="19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5 рабочих дней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3</w:t>
            </w:r>
          </w:p>
        </w:tc>
        <w:tc>
          <w:tcPr>
            <w:tcW w:type="dxa" w:w="31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Собрать договорной комплект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(раздел 7)</w:t>
            </w:r>
          </w:p>
        </w:tc>
        <w:tc>
          <w:tcPr>
            <w:tcW w:type="dxa" w:w="38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Без поручения на обработку ПДн и без границ ответственности первая же проверка или инцидент становятся личным риском</w:t>
            </w:r>
          </w:p>
        </w:tc>
        <w:tc>
          <w:tcPr>
            <w:tcW w:type="dxa" w:w="19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2–3 недели с юристом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4</w:t>
            </w:r>
          </w:p>
        </w:tc>
        <w:tc>
          <w:tcPr>
            <w:tcW w:type="dxa" w:w="31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Уведомление в Роскомнадзор об обработке ПДн</w:t>
            </w:r>
          </w:p>
        </w:tc>
        <w:tc>
          <w:tcPr>
            <w:tcW w:type="dxa" w:w="38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Обязанность возникает в момент начала обработки, а не по факту проверки. Ответственность ужесточена</w:t>
            </w:r>
          </w:p>
        </w:tc>
        <w:tc>
          <w:tcPr>
            <w:tcW w:type="dxa" w:w="19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 запуска первого коммерческого клиента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5</w:t>
            </w:r>
          </w:p>
        </w:tc>
        <w:tc>
          <w:tcPr>
            <w:tcW w:type="dxa" w:w="31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Свидетельство Роспатента на программу для ЭВМ</w:t>
            </w:r>
          </w:p>
        </w:tc>
        <w:tc>
          <w:tcPr>
            <w:tcW w:type="dxa" w:w="38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Основание владения активом; предусловие для Реестра ПО и для оценки компании</w:t>
            </w:r>
          </w:p>
        </w:tc>
        <w:tc>
          <w:tcPr>
            <w:tcW w:type="dxa" w:w="19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2–3 месяца, параллельно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1. Что мы продаём с точки зрения права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Ошибка, которую нужно исключить с самого начала: «мы продаём видеонаблюдение». Юридически это три разных объекта, и их нельзя смешивать в одном договоре без разделения.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268"/>
        <w:gridCol w:w="1939"/>
        <w:gridCol w:w="1108"/>
        <w:gridCol w:w="3324"/>
      </w:tblGrid>
      <w:tr>
        <w:trPr>
          <w:cantSplit/>
          <w:tblHeader/>
        </w:trPr>
        <w:tc>
          <w:tcPr>
            <w:tcW w:type="dxa" w:w="326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передаётся</w:t>
            </w:r>
          </w:p>
        </w:tc>
        <w:tc>
          <w:tcPr>
            <w:tcW w:type="dxa" w:w="193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Правовая природа</w:t>
            </w:r>
          </w:p>
        </w:tc>
        <w:tc>
          <w:tcPr>
            <w:tcW w:type="dxa" w:w="110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Норма</w:t>
            </w:r>
          </w:p>
        </w:tc>
        <w:tc>
          <w:tcPr>
            <w:tcW w:type="dxa" w:w="332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Налоговое следствие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Право использования программы для ЭВМ</w:t>
            </w:r>
          </w:p>
        </w:tc>
        <w:tc>
          <w:tcPr>
            <w:tcW w:type="dxa" w:w="1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Простая (неисключительная) лицензия</w:t>
            </w:r>
          </w:p>
        </w:tc>
        <w:tc>
          <w:tcPr>
            <w:tcW w:type="dxa" w:w="1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ст. 1235, 1286 ГК РФ</w:t>
            </w:r>
          </w:p>
        </w:tc>
        <w:tc>
          <w:tcPr>
            <w:tcW w:type="dxa" w:w="33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При наличии в Реестре ПО — освобождение от НДС (пп. 26 п. 2 ст. 149 НК РФ)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Доступ к платформе на нашем сервере (подписка)</w:t>
            </w:r>
          </w:p>
        </w:tc>
        <w:tc>
          <w:tcPr>
            <w:tcW w:type="dxa" w:w="1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Возмездное оказание услуг</w:t>
            </w:r>
          </w:p>
        </w:tc>
        <w:tc>
          <w:tcPr>
            <w:tcW w:type="dxa" w:w="1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гл. 39 ГК РФ</w:t>
            </w:r>
          </w:p>
        </w:tc>
        <w:tc>
          <w:tcPr>
            <w:tcW w:type="dxa" w:w="33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НДС по общей ставке, льгота по реестру на услуги хостинга не распространяется автоматически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[к юристу]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Установка, настройка, обучение персонала, дообучение модели</w:t>
            </w:r>
          </w:p>
        </w:tc>
        <w:tc>
          <w:tcPr>
            <w:tcW w:type="dxa" w:w="1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Возмездное оказание услуг / подряд</w:t>
            </w:r>
          </w:p>
        </w:tc>
        <w:tc>
          <w:tcPr>
            <w:tcW w:type="dxa" w:w="1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гл. 37, 39 ГК РФ</w:t>
            </w:r>
          </w:p>
        </w:tc>
        <w:tc>
          <w:tcPr>
            <w:tcW w:type="dxa" w:w="33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НДС по общей ставке</w:t>
            </w:r>
          </w:p>
        </w:tc>
      </w:tr>
      <w:tr>
        <w:trPr>
          <w:cantSplit/>
          <w:tblHeader w:val="false"/>
        </w:trPr>
        <w:tc>
          <w:tcPr>
            <w:tcW w:type="dxa" w:w="3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Оборудование (сервер, камеры), если поставляем</w:t>
            </w:r>
          </w:p>
        </w:tc>
        <w:tc>
          <w:tcPr>
            <w:tcW w:type="dxa" w:w="1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Купля-продажа / аренда</w:t>
            </w:r>
          </w:p>
        </w:tc>
        <w:tc>
          <w:tcPr>
            <w:tcW w:type="dxa" w:w="1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гл. 30, 34 ГК РФ</w:t>
            </w:r>
          </w:p>
        </w:tc>
        <w:tc>
          <w:tcPr>
            <w:tcW w:type="dxa" w:w="33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НДС по общей ставке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Практический вывод.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 договоре с заводом эти позиции должны быть разделены в спецификации отдельными строками с отдельной ценой. Смешение «всё одной суммой» лишает льготы по НДС (если она появится) и создаёт спор о том, что именно принято и когда возникло право требования оплаты.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Три схемы поставки, каждая со своим договором: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On-premise, лицензия.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Всё в периметре заказчика, его железо. Лицензионный договор + услуги внедрения + услуги поддержки. Целевая схема для завода.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On-premise, аренда.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Наш сервер физически стоит у заказчика. Договор аренды оборудования + лицензия + услуги. Позволяет продать без крупного CAPEX у клиента.</w:t>
      </w:r>
    </w:p>
    <w:p>
      <w:pPr>
        <w:pStyle w:val="ListParagraph"/>
        <w:numPr>
          <w:ilvl w:val="0"/>
          <w:numId w:val="2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Облако (наш сервер).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Договор оказания услуг (подписка) + обязательное приложение «Поручение на обработку персональных данных». Схема действующего ПВЗ.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2. Блокер № 1: лицензии открытого кода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Это самый недооценённый риск проекта и единственный, который может обесценить весь код.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2.1. Состояние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443"/>
        <w:gridCol w:w="2754"/>
        <w:gridCol w:w="3442"/>
      </w:tblGrid>
      <w:tr>
        <w:trPr>
          <w:cantSplit/>
          <w:tblHeader/>
        </w:trPr>
        <w:tc>
          <w:tcPr>
            <w:tcW w:type="dxa" w:w="344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754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344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Риск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ultralytics (YOLOv8/YOLO26)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analyzer/requirements.txt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analyzer/detect/yolo.py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analyzer/plugins/pose.py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analyzer/plugins/ppe.py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AGPL-3.0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Критический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supervision (ByteTrack)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MIT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OpenCV, onnxruntime, numpy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Apache-2.0 / MIT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go2rtc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MIT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Redis 7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RSALv2/SSPL —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проверить редакцию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Средний: SSPL запрещает предоставление самого Redis как сервиса, но не использование его внутри продукта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[к юристу]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PostgreSQL, TimescaleDB (Community)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PostgreSQL License / TSL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TSL ограничивает предоставление TimescaleDB как DBaaS. Нас не касается, пока мы не продаём саму СУБД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[к юристу]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MinIO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AGPL-3.0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Средний: используется как отдельный сетевой сервис, не линкуется в наш код, но позиция AGPL по сетевому взаимодействию спорна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[к юристу]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Веса YuNet / SFace (OpenCV Zoo)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MIT / Apache-2.0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Веса OSNet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зависит от источника экспорта —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проверить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Средний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Модель qwen3-vl:4b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Apache-2.0 (проверить карточку конкретного тега)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Низкий</w:t>
            </w:r>
          </w:p>
        </w:tc>
      </w:tr>
      <w:tr>
        <w:trPr>
          <w:cantSplit/>
          <w:tblHeader w:val="false"/>
        </w:trPr>
        <w:tc>
          <w:tcPr>
            <w:tcW w:type="dxa" w:w="34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Сторонние веса СИЗ (hardhat с Hugging Face)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неизвестна</w:t>
            </w:r>
          </w:p>
        </w:tc>
        <w:tc>
          <w:tcPr>
            <w:tcW w:type="dxa" w:w="3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Высокий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, если попадёт в поставку клиенту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2.2. Суть проблемы с AGPL-3.0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AGPL требует: если пользователь взаимодействует с программой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 сети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ему должен быть предоставлен полный исходный код всей производной работы на условиях той же AGPL. Ключевые следствия для нас: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Облачный режим не спасает. Именно AGPL (в отличие от GPL) закрывает «лазейку SaaS».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On-premise-поставка — прямое распространение, обязанность раскрытия возникает безусловно.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Правообладатель (Ultralytics) публично трактует лицензию расширительно: под AGPL попадают и веса моделей, обученные с использованием их фреймворка. Это прямо касается будущей боевой модели СИЗ, обученной на данных пилота.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«Мы просто вызываем библиотеку из Python» не является защитой: импорт в один процесс — классическая производная работа.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Практический риск не только теоретический: раскрытие исходного кода уничтожает стоимость актива, а невыполнение обязанности — основание для иска правообладателя и для отказа во включении в Реестр отечественного ПО.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2.3. Три пути. Выбрать нужно один, до первой продажи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2410"/>
        <w:gridCol w:w="2410"/>
        <w:gridCol w:w="2410"/>
        <w:gridCol w:w="2409"/>
      </w:tblGrid>
      <w:tr>
        <w:trPr>
          <w:cantSplit/>
          <w:tblHeader/>
        </w:trPr>
        <w:tc>
          <w:tcPr>
            <w:tcW w:type="dxa" w:w="241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Путь</w:t>
            </w:r>
          </w:p>
        </w:tc>
        <w:tc>
          <w:tcPr>
            <w:tcW w:type="dxa" w:w="241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делать</w:t>
            </w:r>
          </w:p>
        </w:tc>
        <w:tc>
          <w:tcPr>
            <w:tcW w:type="dxa" w:w="241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240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Оценка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А. Купить Enterprise-лицензию Ultralytics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Коммерческое соглашение с правообладателем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Годовая подписка, цена по запросу; для иностранного вендора — вопрос трансграничного платежа</w:t>
            </w:r>
          </w:p>
        </w:tc>
        <w:tc>
          <w:tcPr>
            <w:tcW w:type="dxa" w:w="24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Быстро, но платёж иностранному правообладателю сегодня сам по себе задача, и создаёт зависимость от вендора недружественной юрисдикции — плохо для госсегмента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Б. Заменить детектор на компонент с разрешительной лицензией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Абстракция уже сделана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analyzer/detect/base.py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make_detector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) — это была правильная архитектурная ставка. Кандидаты: RT-DETR / D-FINE / YOLOX (Apache-2.0), либо собственная тренировка на фреймворке с Apache/MIT. Инференс через ONNX Runtime уже в стеке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Инженерные недели, переобучение весов</w:t>
            </w:r>
          </w:p>
        </w:tc>
        <w:tc>
          <w:tcPr>
            <w:tcW w:type="dxa" w:w="24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Рекомендуемый.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Снимает риск полностью, открывает Реестр ПО, убирает зависимость от иностранного вендора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В. Открыть код платформы под AGPL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Публикация репозитория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Ноль денег</w:t>
            </w:r>
          </w:p>
        </w:tc>
        <w:tc>
          <w:tcPr>
            <w:tcW w:type="dxa" w:w="24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 рассматривается: единственный актив — код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Решение к принятию владельцем.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До его принятия: не поставлять on-premise-дистрибутив, не подавать в Реестр ПО, не декларировать в договоре гарантию «свободы от прав третьих лиц» (заверение об обстоятельствах по ст. 431.2 ГК РФ) — иначе это заведомо ложное заверение с прямой ответственностью.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2.4. Обязательная гигиена независимо от выбранного пути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Завести </w:t>
      </w:r>
      <w:r>
        <w:rPr>
          <w:rFonts w:ascii="Consolas" w:cs="Consolas" w:eastAsia="Consolas" w:hAnsi="Consolas"/>
          <w:color w:val="3E4C52"/>
          <w:sz w:val="19"/>
          <w:szCs w:val="19"/>
        </w:rPr>
        <w:t xml:space="preserve">THIRD_PARTY_LICENSES.md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 репозитории: компонент, версия, лицензия, текст лицензии, характер использования. Это первое, что запросит ИБ-служба завода.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Веса моделей — только с прослеживаемым происхождением и лицензией. Веса «нашёл на Hugging Face» в коммерческую поставку не идут. Сейчас это касается hardhat-модели СИЗ.</w:t>
      </w:r>
    </w:p>
    <w:p>
      <w:pPr>
        <w:pStyle w:val="ListParagraph"/>
        <w:numPr>
          <w:ilvl w:val="0"/>
          <w:numId w:val="4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Модель, обученную на данных пилота, — только на фреймворке с разрешительной лицензией, иначе право на собственный обученный актив спорно.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3. Форма ведения деятельности и налоги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3.1. ООО против ИП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2079"/>
        <w:gridCol w:w="3780"/>
        <w:gridCol w:w="3780"/>
      </w:tblGrid>
      <w:tr>
        <w:trPr>
          <w:cantSplit/>
          <w:tblHeader/>
        </w:trPr>
        <w:tc>
          <w:tcPr>
            <w:tcW w:type="dxa" w:w="2079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78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ИП</w:t>
            </w:r>
          </w:p>
        </w:tc>
        <w:tc>
          <w:tcPr>
            <w:tcW w:type="dxa" w:w="378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ООО</w:t>
            </w:r>
          </w:p>
        </w:tc>
      </w:tr>
      <w:tr>
        <w:trPr>
          <w:cantSplit/>
          <w:tblHeader w:val="false"/>
        </w:trPr>
        <w:tc>
          <w:tcPr>
            <w:tcW w:type="dxa" w:w="20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Восприятие заводом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Барьер: закупочная процедура, служба безопасности, проверка контрагента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Норма</w:t>
            </w:r>
          </w:p>
        </w:tc>
      </w:tr>
      <w:tr>
        <w:trPr>
          <w:cantSplit/>
          <w:tblHeader w:val="false"/>
        </w:trPr>
        <w:tc>
          <w:tcPr>
            <w:tcW w:type="dxa" w:w="20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Личная ответственность по долгам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Всем имуществом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 пределах вклада (с оговорками о субсидиарной ответственности)</w:t>
            </w:r>
          </w:p>
        </w:tc>
      </w:tr>
      <w:tr>
        <w:trPr>
          <w:cantSplit/>
          <w:tblHeader w:val="false"/>
        </w:trPr>
        <w:tc>
          <w:tcPr>
            <w:tcW w:type="dxa" w:w="20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Ответственность за инцидент с ПДн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Личная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 юрлицо</w:t>
            </w:r>
          </w:p>
        </w:tc>
      </w:tr>
      <w:tr>
        <w:trPr>
          <w:cantSplit/>
          <w:tblHeader w:val="false"/>
        </w:trPr>
        <w:tc>
          <w:tcPr>
            <w:tcW w:type="dxa" w:w="20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Аккредитация Минцифры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Недоступна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Доступна</w:t>
            </w:r>
          </w:p>
        </w:tc>
      </w:tr>
      <w:tr>
        <w:trPr>
          <w:cantSplit/>
          <w:tblHeader w:val="false"/>
        </w:trPr>
        <w:tc>
          <w:tcPr>
            <w:tcW w:type="dxa" w:w="20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Реестр отечественного ПО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Правообладатель — российское юрлицо или гражданин РФ; для организации требования по составу участников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Доступен</w:t>
            </w:r>
          </w:p>
        </w:tc>
      </w:tr>
      <w:tr>
        <w:trPr>
          <w:cantSplit/>
          <w:tblHeader w:val="false"/>
        </w:trPr>
        <w:tc>
          <w:tcPr>
            <w:tcW w:type="dxa" w:w="207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Продажа/привлечение инвестиций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Невозможна как таковая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Доля в уставном капитале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Вывод: ООО.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Рынок — заводы, продукт затрагивает промышленную безопасность и персональные данные; ИП здесь проигрывает по всем осям, кроме простоты вывода денег.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3.2. Параметры регистрации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ОКВЭД основной: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62.01 «Разработка компьютерного программного обеспечения». Основной — именно он, иначе аккредитация Минцифры недоступна.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ОКВЭД дополнительные: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62.02 (консультирование), 62.09, 63.11 (обработка данных, хостинг — нужен для облачного режима), 26.30 / 33.20 / 43.21 — только если реально монтируем камеры и слаботочку.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 брать без нужды: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виды деятельности, связанные с монтажом систем противопожарной защиты и с охранной деятельностью — они лицензируемые (МЧС, Росгвардия). Наш продукт сознательно позиционируется как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система пожарной сигнализации и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не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охранная деятельность (см. раздел 6), и брать такие ОКВЭД — значит создавать себе вопрос от проверяющего.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Налоговый режим: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УСН «доходы» или «доходы минус расходы». Учесть: заводы на ОСНО хотят входящий НДС; с 2025 года УСН при превышении порога выручки влечёт обязанность по НДС по пониженным ставкам без вычета либо по общей ставке с вычетом. Выбор режима считать на модели выручки, а не по привычке.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[к юристу/бухгалтеру]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Уставный капитал: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минимальный достаточен, но при работе с крупными заказчиками увеличенный капитал снимает вопросы службы безопасности контрагента.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3.3. Аккредитация Минцифры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Даёт: пониженные страховые взносы, льготу по налогу на прибыль, отсрочку от призыва для сотрудников, ипотечные программы. Для команды из нескольких человек экономия на взносах — самая существенная статья.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Типовые условия (проверить действующую редакцию постановления Правительства): российское юрлицо, основной ОКВЭД 62.01 или из перечня, доля профильной выручки не ниже установленного порога, уровень средней заработной платы не ниже заданного ориентира, наличие сайта с описанием деятельности, согласие на раскрытие налоговой тайны, ограничения по доле государственного участия.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[к юристу]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Практический порядок: сначала ООО и первая выручка от ИТ, затем заявление на аккредитацию — до появления выручки критерий доли профильных доходов не подтверждается.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4. Права на продукт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4.1. Свидетельство Роспатента на программу для ЭВМ (ст. 1262 ГК РФ)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Регистрация не создаёт право (оно возникает с момента создания), но: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фиксирует правообладателя, дату и состав кода — доказательство в споре;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нужна как приложение к заявке в Реестр отечественного ПО;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нужна для постановки нематериального актива на баланс;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закрывает вопрос службы безопасности заказчика «а ваше ли это вообще».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Заявка подаётся на юрлицо (не на физлицо-разработчика), депонируются фрагменты исходного кода и реферат. Пошлина — по НК РФ ст. 333.30, размер сверить на дату подачи. Срок рассмотрения — порядка двух месяцев.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4.2. Передача прав от разработчиков — сделать до регистрации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Если код писали не только вы (подрядчики, фрилансеры, будущие сотрудники), права по умолчанию распределяются не в вашу пользу.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Сотрудник: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служебное произведение (ст. 1295 ГК). Требуется трудовой договор с указанием, что создание ПО входит в трудовую функцию,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плюс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служебное задание и акт,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плюс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выплата вознаграждения за служебное произведение отдельно от зарплаты. Без этого комплекта исключительное право может быть оспорено.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Подрядчик/фрилансер: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договор авторского заказа или подряда с прямым условием об отчуждении исключительного права в полном объёме (ст. 1234, 1288 ГК) и актом. «Оплатил на карту по договорённости» — прав не даёт.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Код, сгенерированный с помощью ИИ-инструментов: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отдельный вопрос охраноспособности и условий использования конкретного инструмента. Практически: риск невысок, но при подаче в Роспатент депонируются фрагменты, авторство которых заявляется.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[к юристу]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4.3. Товарный знак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Бренд «BZK-VIZIAI» и домен используются в интерфейсе, лендинге и коммерческих документах. Регистрация знака (классы 9 и 42 МКТУ) стоит недорого относительно риска: без неё возможна ситуация, когда знак регистрирует третье лицо и требует прекратить использование, включая доменное имя. Делать не в первую очередь, но до заметной публичности.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4.4. Реестр российского программного обеспечения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Что даёт: освобождение от НДС при передаче прав, доступ к заказчикам с обязанностью импортозамещения (госкомпании, предприятия с госучастием — а это значительная часть российских заводов), сильный аргумент в переговорах.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Ключевые требования, релевантные нашему случаю: правообладатель — российское лицо с ограничением иностранного участия; ПО правомерно распространяется на территории РФ; отсутствие принудительного обновления и управления из-за рубежа;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отсутствие в составе компонентов, лицензионные условия которых препятствуют распространению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. Последний пункт — прямая отсылка к разделу 2. Пока в стеке AGPL-компонент без коммерческой лицензии, подача в реестр смысла не имеет.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5. Персональные данные: 152-ФЗ и видеонаблюдение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5.1. Является ли видео персональными данными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Изображение человека, позволяющее его идентифицировать, относится к персональным данным. Дополнительно ст. 152.1 ГК РФ регулирует охрану изображения гражданина, но съёмка в местах, открытых для свободного посещения, и съёмка в целях обеспечения безопасности — отдельные основания.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Биометрические персональные данные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— сведения о физиологических и биологических особенностях, которые используются оператором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для установления личности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. Разграничение принципиально: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делает система</w:t>
            </w:r>
          </w:p>
        </w:tc>
        <w:tc>
          <w:tcPr>
            <w:tcW w:type="dxa" w:w="321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Квалификация</w:t>
            </w:r>
          </w:p>
        </w:tc>
        <w:tc>
          <w:tcPr>
            <w:tcW w:type="dxa" w:w="321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Требования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Детекция человека как объекта, счёт, зоны, поза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ПДн (изображение), не биометрия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Общий режим 152-ФЗ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Re-ID посетителей по одежде и силуэту (OSNet), TTL 12 часов, без имени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ПДн, </w:t>
            </w: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не биометрия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— физиологические особенности не используются для установления личности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Общий режим. Это сознательное архитектурное решение (V-02) и коммерческий козырь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Face-ID сотрудников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analyzer/reid/face.py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, YuNet + SFace)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Биометрические ПДн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Письменное согласие каждого работника (ст. 11 152-ФЗ) + требования 572-ФЗ к обработке биометрии, включая вопрос взаимодействия с ЕБС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Ключевая рекомендация.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Модуль Face-ID сотрудников — самый юридически дорогой элемент продукта и при этом не основной по ценности. Практический курс: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Оставить Face-ID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выключенным по умолчанию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 не включать его в базовую поставку и в коммерческое предложение.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Для задачи «нарушение по конкретному работнику» продвигать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интеграцию со СКУД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вместо биометрии: предприятие уже имеет СКУД, идентификация достоверная, биометрический режим не возникает. Это же зафиксировано в 14_FACTORY_MODULES.md, 9.2.</w:t>
      </w:r>
    </w:p>
    <w:p>
      <w:pPr>
        <w:pStyle w:val="ListParagraph"/>
        <w:numPr>
          <w:ilvl w:val="0"/>
          <w:numId w:val="5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Если заказчик настаивает на Face-ID — включать только после отдельного юридического заключения и с комплектом согласий работников, оформленных заказчиком.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[к юристу]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Формулировка для клиента и для продавцов: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«система не распознаёт лица посетителей и не строит биометрические профили»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— правда, проверяемая по коду, и сильный аргумент. Формулировка «мы вообще не обрабатываем персональные данные» —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ложь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использовать нельзя.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5.2. Кто оператор, кто обработчик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2242"/>
        <w:gridCol w:w="675"/>
        <w:gridCol w:w="3362"/>
        <w:gridCol w:w="3360"/>
      </w:tblGrid>
      <w:tr>
        <w:trPr>
          <w:cantSplit/>
          <w:tblHeader/>
        </w:trPr>
        <w:tc>
          <w:tcPr>
            <w:tcW w:type="dxa" w:w="224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Схема</w:t>
            </w:r>
          </w:p>
        </w:tc>
        <w:tc>
          <w:tcPr>
            <w:tcW w:type="dxa" w:w="67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Оператор ПДн</w:t>
            </w:r>
          </w:p>
        </w:tc>
        <w:tc>
          <w:tcPr>
            <w:tcW w:type="dxa" w:w="3362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Наша роль</w:t>
            </w:r>
          </w:p>
        </w:tc>
        <w:tc>
          <w:tcPr>
            <w:tcW w:type="dxa" w:w="3360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Что нужно</w:t>
            </w:r>
          </w:p>
        </w:tc>
      </w:tr>
      <w:tr>
        <w:trPr>
          <w:cantSplit/>
          <w:tblHeader w:val="false"/>
        </w:trPr>
        <w:tc>
          <w:tcPr>
            <w:tcW w:type="dxa" w:w="2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On-premise (данные не покидают периметр)</w:t>
            </w:r>
          </w:p>
        </w:tc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3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Поставщик ПО; при удалённой поддержке — обработчик в части доступа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Регламент удалённого доступа, NDA, журнал доступа</w:t>
            </w:r>
          </w:p>
        </w:tc>
      </w:tr>
      <w:tr>
        <w:trPr>
          <w:cantSplit/>
          <w:tblHeader w:val="false"/>
        </w:trPr>
        <w:tc>
          <w:tcPr>
            <w:tcW w:type="dxa" w:w="22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Облако (наш сервер)</w:t>
            </w:r>
          </w:p>
        </w:tc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33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Обработчик по поручению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(ч. 3 ст. 6 152-ФЗ)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Обязательное поручение на обработку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 в виде приложения к договору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Поручение на обработку должно содержать: перечень действий с ПДн, цели обработки, обязанность соблюдать конфиденциальность, требования к защите (ст. 19 152-ФЗ), запрет привлечения третьих лиц без согласия, порядок уничтожения по прекращении договора, ответственность обработчика перед оператором. Без этого приложения облачный договор дефектен: заказчик как оператор нарушает закон самим фактом передачи нам данных.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5.3. Обязанности, возникающие у нас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Уведомление в Роскомнадзор о намерении обрабатывать ПДн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(ст. 22 152-ФЗ) — подаётся до начала обработки. Обрабатываем как минимум данные пользователей платформы и данные по поручению заказчиков.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Политика обработки персональных данных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, опубликованная на сайте (ч. 2 ст. 18.1 152-ФЗ) — прямая обязанность для владельца сайта, собирающего данные. На лендинге есть форма «Запросить демо» (</w:t>
      </w:r>
      <w:r>
        <w:rPr>
          <w:rFonts w:ascii="Consolas" w:cs="Consolas" w:eastAsia="Consolas" w:hAnsi="Consolas"/>
          <w:color w:val="3E4C52"/>
          <w:sz w:val="19"/>
          <w:szCs w:val="19"/>
        </w:rPr>
        <w:t xml:space="preserve">POST /api/v1/public/demo-request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) — значит, обязанность уже возникла: нужна политика и отдельное согласие с чекбоксом в форме.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Локализация баз данных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(ч. 5 ст. 18 152-ФЗ): запись, систематизация, хранение ПДн граждан РФ — на серверах в РФ. Выполняется (свой сервер + VPS в РФ), зафиксировать в политике.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Уведомление об инциденте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(утечка) — в установленный законом короткий срок с момента обнаружения. Требует заранее написанного внутреннего регламента: кто фиксирует, кто уведомляет, куда.</w:t>
      </w:r>
    </w:p>
    <w:p>
      <w:pPr>
        <w:pStyle w:val="ListParagraph"/>
        <w:numPr>
          <w:ilvl w:val="0"/>
          <w:numId w:val="6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Меры защиты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по ПП РФ № 1119 и приказу ФСТЭК № 21 — соразмерно определённому уровню защищённости. Для on-premise основная нагрузка на заказчика, но наши технические меры (разграничение доступа, аудит, шифрование канала) он будет проверять.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Ответственность за нарушения в области ПДн в последние годы существенно ужесточена, включая оборотные штрафы за утечки. Это не та статья расходов, на которой экономят.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5.4. Данные пилота и право на обучение моделей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Отдельный и критичный пункт, специфичный именно для нашего продукта: боевая модель СИЗ невозможна без видео с площадки заказчика (14_FACTORY_MODULES.md, 3.1).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 договоре пилота обязательно должно быть прямо оговорено: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право использовать видеоматериалы и извлечённые из них кадры для обучения и улучшения моделей;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обезличивание (кадры без привязки к личности) и режим хранения;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принадлежность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нам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исключительного права на обученную модель — иначе завод впоследствии заявит, что модель создана на его данных и принадлежит ему;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запрет передачи материалов заказчика третьим лицам;</w:t>
      </w:r>
    </w:p>
    <w:p>
      <w:pPr>
        <w:pStyle w:val="ListParagraph"/>
        <w:numPr>
          <w:ilvl w:val="0"/>
          <w:numId w:val="3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срок и порядок уничтожения исходных видеоматериалов.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Без этого блока пилот бесполезен: данные получены, а использовать их для продукта нельзя.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6. Границы ответственности — то, что защищает лично вас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Продукт касается промышленной безопасности. Единственная реальная угроза бизнесу — иск после несчастного случая с формулировкой «система должна была предотвратить». Границы должны быть зафиксированы одинаково в трёх местах: в договоре, в коммерческом предложении и в интерфейсе.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Обязательные положения договора (формулировки — к юристу, смысл — неизменный):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Система носит информационно-уведомительный характер.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Она фиксирует события и оповещает ответственных лиц. Она не управляет оборудованием, не останавливает технологические процессы и не принимает решений вместо человека. Прямо зафиксировано в ADR-0001 как условие продажи.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Система не является средством обеспечения функциональной безопасности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 не заменяет средства защиты, предусмотренные нормами охраны труда и промышленной безопасности. Она не сертифицирована как таковое средство и не заявляется в этом качестве.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Система не является системой пожарной сигнализации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и, если модуль раннего обнаружения дыма будет поставлен, дополняет, но не заменяет штатную противопожарную систему.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Работа системы носит вероятностный характер.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Возможны как пропуски событий, так и ложные срабатывания. Заказчик уведомлён и принимает это как свойство технологии. Целевые показатели точности, если они согласованы, фиксируются отдельным приложением по результатам пилота и только для оговорённых условий съёмки.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Зона ответственности заказчика: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исправность и корректная установка камер, освещённость, каналы связи, электропитание, актуальность списка ответственных лиц, реагирование на оповещения. Сбои, вызванные этими факторами, не являются нарушением с нашей стороны.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Ограничение размера ответственности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суммой платежей по договору за расчётный период; исключение ответственности за упущенную выгоду и косвенные убытки — в пределах, допускаемых законом (ст. 15, 400 ГК РФ; учесть ограничения по ст. 401 ГК).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[к юристу]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Уровень доступности.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До реализации отказоустойчивости (11_HIGH_AVAILABILITY.md) архитектура с единственным сервером честно поддерживает не более 99,0 % в месяц. В договоре либо этот показатель, либо режим «разумных усилий». Обещать выше — гарантированно нарушить договор.</w:t>
      </w:r>
    </w:p>
    <w:p>
      <w:pPr>
        <w:pStyle w:val="ListParagraph"/>
        <w:numPr>
          <w:ilvl w:val="0"/>
          <w:numId w:val="7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Обязанность заказчика по уведомлению работников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о видеонаблюдении и по оформлению внутренних документов лежит на заказчике (раздел 8). Мы предоставляем шаблоны, но не отвечаем за их принятие.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7. Договорной комплект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675"/>
        <w:gridCol w:w="3908"/>
        <w:gridCol w:w="1693"/>
        <w:gridCol w:w="3363"/>
      </w:tblGrid>
      <w:tr>
        <w:trPr>
          <w:cantSplit/>
          <w:tblHeader/>
        </w:trPr>
        <w:tc>
          <w:tcPr>
            <w:tcW w:type="dxa" w:w="67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№</w:t>
            </w:r>
          </w:p>
        </w:tc>
        <w:tc>
          <w:tcPr>
            <w:tcW w:type="dxa" w:w="3908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169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Обязательность</w:t>
            </w:r>
          </w:p>
        </w:tc>
        <w:tc>
          <w:tcPr>
            <w:tcW w:type="dxa" w:w="3363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Рамочный договор (или публичная оферта для облачного тарифа)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Общие условия, порядок расчётов, ответственность, конфиденциальность, применимое право, порядок разрешения споров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2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Спецификация (приложение)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Состав модулей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E4C52"/>
                <w:sz w:val="16"/>
                <w:szCs w:val="16"/>
              </w:rPr>
              <w:t xml:space="preserve">tenant_feature</w:t>
            </w: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), число камер, объектов, схема поставки, цена по позициям раздельно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3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Лицензионный договор / раздел о предоставлении права использования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Для on-premise обязательно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Простая неисключительная лицензия, территория, срок, число экземпляров, запрет декомпиляции и передачи третьим лицам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4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Поручение на обработку ПДн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Для облака обязательно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См. 5.2. Без него облачный договор дефектен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5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Соглашение об уровне обслуживания (SLA)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Рекомендуется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Доступность, время реакции по классам обращений, окна регламентных работ, порядок фиксации нарушения, компенсация в виде продления подписки, а не денежной выплаты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6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Регламент технической поддержки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Рекомендуется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Каналы, часы, классификация обращений, время реакции — отдельно от SLA, чтобы менять без переподписания договора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7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Акт о предоставлении права использования / акт оказанных услуг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Основание для признания выручки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8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Договор на пилотную (опытную) эксплуатацию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Обязательно для завода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См. 9.1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9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Соглашение о конфиденциальности (NDA)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Взаимное. Завод даст доступ к планировкам и видео; нам нужна защита исходного кода и алгоритмов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10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Регламент удалённого доступа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Рекомендуется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Кто, когда, через что, журналирование. ИБ-служба спросит первым делом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11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Политика обработки ПДн на сайте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Обязательно по закону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ч. 2 ст. 18.1 152-ФЗ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12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Согласие на обработку ПДн в форме «Запросить демо»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Обязательно по закону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Отдельный чекбокс, не предустановленный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13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Пользовательское соглашение платформы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Рекомендуется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Правила использования учётных записей, запрет передачи паролей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14</w:t>
            </w:r>
          </w:p>
        </w:tc>
        <w:tc>
          <w:tcPr>
            <w:tcW w:type="dxa" w:w="39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Комплект шаблонов для заказчика (раздел 8)</w:t>
            </w:r>
          </w:p>
        </w:tc>
        <w:tc>
          <w:tcPr>
            <w:tcW w:type="dxa" w:w="1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Коммерческое преимущество</w:t>
            </w:r>
          </w:p>
        </w:tc>
        <w:tc>
          <w:tcPr>
            <w:tcW w:type="dxa" w:w="33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Не наша обязанность, но сильный аргумент в продаже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8. Что заказчик обязан оформить у себя (и почему это наш аргумент в продаже)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Видеонаблюдение за работниками — самостоятельный правовой сюжет по трудовому законодательству. Обработка персональных данных работника регулируется главой 14 ТК РФ (ст. 86–90).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Заказчику необходимо: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Локальный нормативный акт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— положение о видеонаблюдении: цели (охрана труда, промышленная безопасность, сохранность имущества, контроль соблюдения технологии), зоны наблюдения, сроки хранения записей, круг лиц с доступом, порядок использования материалов.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Приказ о вводе системы в эксплуатацию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 назначением ответственного.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Ознакомление работников под подпись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— до начала наблюдения.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Информирующие таблички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 зонах наблюдения.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Запрет скрытого наблюдения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и наблюдения в местах, где оно недопустимо (санитарно-бытовые помещения, раздевалки, медпункт). Проверять на этапе обследования объекта: если заказчик просит камеру в раздевалке — отказывать и фиксировать отказ письменно.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Соразмерность цели.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Цель «охрана труда и безопасность» защищаема. Цель «тотальный контроль дисциплины» уязвима в трудовом споре и в проверке.</w:t>
      </w:r>
    </w:p>
    <w:p>
      <w:pPr>
        <w:pStyle w:val="ListParagraph"/>
        <w:numPr>
          <w:ilvl w:val="0"/>
          <w:numId w:val="8"/>
        </w:numPr>
        <w:spacing w:after="150" w:line="270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Отражение видеонаблюдения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в политике обработки ПДн предприятия и в перечне обрабатываемых данных.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Продающий эффект.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Специалист по охране труда на малом заводе этих документов, как правило, не имеет и не знает, как их писать. Готовый комплект шаблонов, приложенный к нашему предложению, снимает главный внутренний барьер внедрения и отличает нас от поставщика, который «привёз коробку». Шаблоны готовит юрист один раз, используются они в каждой сделке.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9. Особые ситуации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9.1. Пилот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Пилот на заводе обязательно оформляется договором, даже если он бесплатный. Безвозмездный пилот без документа — это доступ к промышленному объекту без правового основания, обработка ПДн работников без поручения и передача видео без согласования.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Минимальный состав договора на пилот: срок и границы (какие камеры, какие участки), критерии успеха в измеримом виде, состав работ сторон, режим конфиденциальности, </w:t>
      </w: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право на использование данных для обучения моделей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(5.4), порядок перехода к возмездному договору и условие о том, что по окончании пилота без заключения договора система демонтируется и данные уничтожаются.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Отдельно: безвозмездность стоит ограничить. Платный пилот (пусть символически) отсекает нецелевых клиентов, создаёт обязательства у заказчика и подтверждает профильную выручку.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9.2. Заказчик — субъект КИИ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Часть промышленных предприятий относится к субъектам критической информационной инфраструктуры (187-ФЗ). Тогда подключение любой системы к их сети — это не техническая, а регуляторная процедура: категорирование объекта, требования к средствам защиты, согласование с ИБ-службой, возможные требования к сертификации применяемых средств.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Практический курс: на этапе квалификации сделки задавать вопрос прямо. Если заказчик — субъект КИИ, предлагать исключительно on-premise в изолированном сегменте без выхода в интернет (офлайн-поставка </w:t>
      </w:r>
      <w:r>
        <w:rPr>
          <w:rFonts w:ascii="Consolas" w:cs="Consolas" w:eastAsia="Consolas" w:hAnsi="Consolas"/>
          <w:color w:val="3E4C52"/>
          <w:sz w:val="19"/>
          <w:szCs w:val="19"/>
        </w:rPr>
        <w:t xml:space="preserve">scripts/offline-bundle.sh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 уже реализована — это готовый ответ), и закладывать существенно больший срок на согласования.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9.3. Заказчик с государственным участием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Закупки по 44-ФЗ или 223-ФЗ. Требования: наличие в Реестре отечественного ПО (см. 4.4), опыт исполнения аналогичных договоров, финансовые показатели. Для стартующей компании этот сегмент закрыт до накопления опыта; не тратить на него ресурс продаж на первом этапе.</w:t>
      </w:r>
    </w:p>
    <w:p>
      <w:pPr>
        <w:pStyle w:val="Heading3"/>
        <w:keepNext/>
        <w:spacing w:after="110" w:before="240"/>
      </w:pPr>
      <w:r>
        <w:rPr>
          <w:rFonts w:ascii="Calibri" w:cs="Calibri" w:eastAsia="Calibri" w:hAnsi="Calibri"/>
          <w:b/>
          <w:bCs/>
          <w:color w:val="17836F"/>
          <w:sz w:val="22"/>
          <w:szCs w:val="22"/>
        </w:rPr>
        <w:t xml:space="preserve">9.4. Страхование ответственности</w:t>
      </w:r>
    </w:p>
    <w:p>
      <w:pPr>
        <w:spacing w:after="140" w:line="276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При выходе на предприятия с опасными производственными объектами имеет смысл рассмотреть страхование профессиональной ответственности. Стоимость невелика относительно риска и является дополнительным аргументом при переговорах со службой безопасности заказчика. Не первоочередная задача.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10. Порядок действий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Этап 1 — до первой коммерческой сделки (обязательно):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Принять решение по AGPL (раздел 2.3) и начать его исполнение.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Зарегистрировать ООО, ОКВЭД 62.01 основной, выбрать налоговый режим на расчёте.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Оформить передачу прав на код от всех участников разработки (4.2).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Подать уведомление в Роскомнадзор; опубликовать политику обработки ПДн; добавить согласие в форму демо-запроса.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Заказать у юриста договорной комплект по разделу 7 (позиции 1–9) и шаблоны для заказчика по разделу 8.</w:t>
      </w:r>
    </w:p>
    <w:p>
      <w:pPr>
        <w:pStyle w:val="ListParagraph"/>
        <w:numPr>
          <w:ilvl w:val="0"/>
          <w:numId w:val="9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Внести границы ответственности (раздел 6) в договор, в «Коммерческое предложение» и в интерфейс платформы.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Этап 2 — параллельно, первые месяцы: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Подать заявку в Роспатент на регистрацию программы для ЭВМ.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Собрать </w:t>
      </w:r>
      <w:r>
        <w:rPr>
          <w:rFonts w:ascii="Consolas" w:cs="Consolas" w:eastAsia="Consolas" w:hAnsi="Consolas"/>
          <w:color w:val="3E4C52"/>
          <w:sz w:val="19"/>
          <w:szCs w:val="19"/>
        </w:rPr>
        <w:t xml:space="preserve">THIRD_PARTY_LICENSES.md</w:t>
      </w:r>
      <w:r>
        <w:rPr>
          <w:rFonts w:ascii="Calibri" w:cs="Calibri" w:eastAsia="Calibri" w:hAnsi="Calibri"/>
          <w:color w:val="1B242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Подать на аккредитацию Минцифры после появления профильной выручки.</w:t>
      </w:r>
    </w:p>
    <w:p>
      <w:pPr>
        <w:pStyle w:val="ListParagraph"/>
        <w:numPr>
          <w:ilvl w:val="0"/>
          <w:numId w:val="10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Зарегистрировать товарный знак.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B2429"/>
          <w:sz w:val="21"/>
          <w:szCs w:val="21"/>
        </w:rPr>
        <w:t xml:space="preserve">Этап 3 — после снятия вопроса с AGPL: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Подать в Реестр отечественного ПО.</w:t>
      </w:r>
    </w:p>
    <w:p>
      <w:pPr>
        <w:pStyle w:val="ListParagraph"/>
        <w:numPr>
          <w:ilvl w:val="0"/>
          <w:numId w:val="11"/>
        </w:numPr>
        <w:spacing w:after="150" w:line="270"/>
      </w:pPr>
      <w:r>
        <w:rPr>
          <w:rFonts w:ascii="Calibri" w:cs="Calibri" w:eastAsia="Calibri" w:hAnsi="Calibri"/>
          <w:color w:val="1B2429"/>
          <w:sz w:val="21"/>
          <w:szCs w:val="21"/>
        </w:rPr>
        <w:t xml:space="preserve">Вернуться к вопросу SLA выше best effort — только после реализации отказоустойчивости.</w:t>
      </w:r>
    </w:p>
    <w:p>
      <w:pPr>
        <w:pBdr>
          <w:bottom w:val="single" w:color="C9D3D1" w:sz="6" w:space="2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50" w:before="320"/>
      </w:pPr>
      <w:r>
        <w:rPr>
          <w:rFonts w:ascii="Calibri" w:cs="Calibri" w:eastAsia="Calibri" w:hAnsi="Calibri"/>
          <w:b/>
          <w:bCs/>
          <w:color w:val="1B2429"/>
          <w:sz w:val="25"/>
          <w:szCs w:val="25"/>
        </w:rPr>
        <w:t xml:space="preserve">11. Реестр открытых вопросов</w:t>
      </w:r>
    </w:p>
    <w:tbl>
      <w:tblPr>
        <w:tblW w:type="dxa" w:w="9639"/>
        <w:tblBorders>
          <w:top w:val="single" w:color="C9D3D1" w:sz="4"/>
          <w:left w:val="single" w:color="C9D3D1" w:sz="4"/>
          <w:bottom w:val="single" w:color="C9D3D1" w:sz="4"/>
          <w:right w:val="single" w:color="C9D3D1" w:sz="4"/>
          <w:insideH w:val="single" w:color="C9D3D1" w:sz="4"/>
          <w:insideV w:val="single" w:color="C9D3D1" w:sz="4"/>
        </w:tblBorders>
      </w:tblPr>
      <w:tblGrid>
        <w:gridCol w:w="675"/>
        <w:gridCol w:w="3881"/>
        <w:gridCol w:w="1617"/>
        <w:gridCol w:w="3466"/>
      </w:tblGrid>
      <w:tr>
        <w:trPr>
          <w:cantSplit/>
          <w:tblHeader/>
        </w:trPr>
        <w:tc>
          <w:tcPr>
            <w:tcW w:type="dxa" w:w="675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№</w:t>
            </w:r>
          </w:p>
        </w:tc>
        <w:tc>
          <w:tcPr>
            <w:tcW w:type="dxa" w:w="3881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617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Кому</w:t>
            </w:r>
          </w:p>
        </w:tc>
        <w:tc>
          <w:tcPr>
            <w:tcW w:type="dxa" w:w="3466"/>
            <w:shd w:fill="E7F2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/>
                <w:bCs/>
                <w:color w:val="1B2429"/>
                <w:sz w:val="18"/>
                <w:szCs w:val="18"/>
              </w:rPr>
              <w:t xml:space="preserve">Блокирует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L-01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Выбор пути по AGPL Ultralytics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Владелец, затем инженерия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On-premise, Реестр ПО, заверения в договоре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L-02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Лицензионная чистота весов моделей, включая будущую модель СИЗ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Инженерия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Поставку заказчику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L-03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Позиция по MinIO (AGPL) и Redis (SSPL/RSALv2) в поставке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Юрист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On-premise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L-04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Налоговый режим и работа с НДС при заказчиках на ОСНО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Бухгалтер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Ценообразование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L-05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Правовой режим Face-ID сотрудников с учётом 572-ФЗ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Юрист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Продажу модуля; до заключения — модуль выключен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L-06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Формулировки ограничения ответственности, устойчивые в суде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Юрист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Договор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L-07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Цена подписки и юнит-экономика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Владелец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«Коммерческое предложение», раздел «Стоимость»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L-08</w:t>
            </w:r>
          </w:p>
        </w:tc>
        <w:tc>
          <w:tcPr>
            <w:tcW w:type="dxa" w:w="38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Декларируемый уровень доступности</w:t>
            </w:r>
          </w:p>
        </w:tc>
        <w:tc>
          <w:tcPr>
            <w:tcW w:type="dxa" w:w="16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Владелец</w:t>
            </w:r>
          </w:p>
        </w:tc>
        <w:tc>
          <w:tcPr>
            <w:tcW w:type="dxa" w:w="34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429"/>
                <w:sz w:val="18"/>
                <w:szCs w:val="18"/>
              </w:rPr>
              <w:t xml:space="preserve">SLA</w:t>
            </w:r>
          </w:p>
        </w:tc>
      </w:tr>
    </w:tbl>
    <w:p>
      <w:pPr>
        <w:spacing w:after="180"/>
      </w:pPr>
      <w:r>
        <w:rPr>
          <w:sz w:val="4"/>
          <w:szCs w:val="4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3" w:right="1133" w:bottom="1133" w:left="113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color w:val="6A757C"/>
        <w:sz w:val="16"/>
        <w:szCs w:val="16"/>
      </w:rPr>
      <w:t xml:space="preserve"/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57C"/>
        <w:sz w:val="16"/>
        <w:szCs w:val="16"/>
      </w:rPr>
      <w:t xml:space="preserve"> / </w:t>
    </w:r>
    <w:r>
      <w:rPr>
        <w:rFonts w:ascii="Calibri" w:cs="Calibri" w:eastAsia="Calibri" w:hAnsi="Calibri"/>
        <w:color w:val="6A75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1" w:sz="4" w:space="4"/>
      </w:pBdr>
      <w:tabs>
        <w:tab w:val="right" w:pos="9639"/>
      </w:tabs>
      <w:spacing w:after="200"/>
    </w:pPr>
    <w:r>
      <w:rPr>
        <w:rFonts w:ascii="Calibri" w:cs="Calibri" w:eastAsia="Calibri" w:hAnsi="Calibri"/>
        <w:b/>
        <w:bCs/>
        <w:color w:val="17836F"/>
        <w:sz w:val="16"/>
        <w:szCs w:val="16"/>
      </w:rPr>
      <w:t xml:space="preserve">BZK-VIZIAI</w:t>
    </w:r>
    <w:r>
      <w:rPr>
        <w:rFonts w:ascii="Calibri" w:cs="Calibri" w:eastAsia="Calibri" w:hAnsi="Calibri"/>
        <w:color w:val="6A757C"/>
        <w:sz w:val="16"/>
        <w:szCs w:val="16"/>
      </w:rPr>
      <w:t xml:space="preserve">	Юридическое оформление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60" w:hanging="220"/>
      </w:pPr>
    </w:lvl>
    <w:lvl w:ilvl="2" w15:tentative="1">
      <w:start w:val="1"/>
      <w:numFmt w:val="bullet"/>
      <w:lvlText w:val="·"/>
      <w:lvlJc w:val="left"/>
      <w:pPr>
        <w:ind w:left="9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  <w:lvl w:ilvl="1" w15:tentative="1">
      <w:start w:val="1"/>
      <w:numFmt w:val="decimal"/>
      <w:lvlText w:val="%2."/>
      <w:lvlJc w:val="left"/>
      <w:pPr>
        <w:ind w:left="700" w:hanging="260"/>
      </w:pPr>
    </w:lvl>
    <w:lvl w:ilvl="2" w15:tentative="1">
      <w:start w:val="1"/>
      <w:numFmt w:val="decimal"/>
      <w:lvlText w:val="%3."/>
      <w:lvlJc w:val="left"/>
      <w:pPr>
        <w:ind w:left="10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9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836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242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7836F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B2429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Юридическое оформление проекта</dc:title>
  <dc:creator>BZK-VIZIAI</dc:creator>
  <dc:description>Что нужно сделать до первой продажи: форма организации, права на код, персональные данные, договоры</dc:description>
  <cp:lastModifiedBy>Un-named</cp:lastModifiedBy>
  <cp:revision>1</cp:revision>
  <dcterms:created xsi:type="dcterms:W3CDTF">2026-07-24T23:06:46.649Z</dcterms:created>
  <dcterms:modified xsi:type="dcterms:W3CDTF">2026-07-24T23:06:46.650Z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