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20" w:after="80" w:line="240" w:lineRule="auto"/>
        <w:jc w:val="center"/>
      </w:pPr>
      <w:r>
        <w:rPr>
          <w:rFonts w:ascii="Georgia" w:hAnsi="Georgia" w:eastAsia="Georgia"/>
          <w:b/>
          <w:color w:val="12172D"/>
          <w:sz w:val="48"/>
        </w:rPr>
        <w:t>ALEX RIVERA</w:t>
      </w:r>
    </w:p>
    <w:p>
      <w:pPr>
        <w:spacing w:before="0" w:after="40" w:line="240" w:lineRule="auto"/>
        <w:jc w:val="center"/>
      </w:pPr>
      <w:r>
        <w:rPr>
          <w:rFonts w:ascii="Georgia" w:hAnsi="Georgia" w:eastAsia="Georgia"/>
          <w:b w:val="0"/>
          <w:color w:val="C9A24B"/>
          <w:sz w:val="18"/>
        </w:rPr>
        <w:t>·   ·   ·</w:t>
      </w:r>
    </w:p>
    <w:p>
      <w:pPr>
        <w:spacing w:before="0" w:after="160" w:line="240" w:lineRule="auto"/>
        <w:jc w:val="center"/>
        <w:pBdr>
          <w:bottom w:val="single" w:sz="6" w:space="4" w:color="C9A24B"/>
        </w:pBdr>
      </w:pPr>
      <w:r>
        <w:rPr>
          <w:rFonts w:ascii="Georgia" w:hAnsi="Georgia" w:eastAsia="Georgia"/>
          <w:b w:val="0"/>
          <w:color w:val="C9A24B"/>
          <w:sz w:val="8"/>
        </w:rPr>
        <w:t xml:space="preserve"> </w:t>
      </w:r>
    </w:p>
    <w:p>
      <w:pPr>
        <w:spacing w:before="40" w:after="40" w:line="259" w:lineRule="auto"/>
        <w:jc w:val="center"/>
      </w:pPr>
      <w:r>
        <w:rPr>
          <w:rFonts w:ascii="Georgia" w:hAnsi="Georgia" w:eastAsia="Georgia"/>
          <w:b w:val="0"/>
          <w:color w:val="C9A24B"/>
          <w:sz w:val="22"/>
        </w:rPr>
        <w:t>Data Scientist  ·  Applied Mathematics</w:t>
      </w:r>
    </w:p>
    <w:p>
      <w:pPr>
        <w:spacing w:before="0" w:after="280" w:line="259" w:lineRule="auto"/>
        <w:jc w:val="center"/>
      </w:pPr>
      <w:r>
        <w:rPr>
          <w:rFonts w:ascii="Calibri" w:hAnsi="Calibri" w:eastAsia="Calibri"/>
          <w:b w:val="0"/>
          <w:color w:val="555555"/>
          <w:sz w:val="18"/>
        </w:rPr>
        <w:t>alex.rivera@email.com  ·  (555) 014-2088  ·  San Francisco, CA  ·  linkedin.com/in/alexrivera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PROFESSIONAL SUMMARY</w:t>
      </w:r>
    </w:p>
    <w:p>
      <w:pPr>
        <w:spacing w:before="120" w:after="120" w:line="276" w:lineRule="auto"/>
      </w:pPr>
      <w:r>
        <w:rPr>
          <w:rFonts w:ascii="Calibri" w:hAnsi="Calibri" w:eastAsia="Calibri"/>
          <w:b w:val="0"/>
          <w:color w:val="1A1A1A"/>
          <w:sz w:val="21"/>
        </w:rPr>
        <w:t>Data scientist with 6+ years translating statistical models into product decisions. Strong in causal inference, experimentation, and production ML. Known for clear communication with engineering and leadership — turning ambiguous questions into measurable outcomes.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CORE SKILLS</w:t>
      </w:r>
    </w:p>
    <w:p>
      <w:pPr>
        <w:spacing w:before="120" w:after="120" w:line="276" w:lineRule="auto"/>
      </w:pPr>
      <w:r>
        <w:rPr>
          <w:rFonts w:ascii="Calibri" w:hAnsi="Calibri" w:eastAsia="Calibri"/>
          <w:b w:val="0"/>
          <w:color w:val="1A1A1A"/>
          <w:sz w:val="21"/>
        </w:rPr>
        <w:t>Python · SQL · R · PyTorch · scikit-learn · dbt · Airflow · A/B testing · Causal inference · Bayesian modeling · Experiment design · Stakeholder storytelling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EXPERIENCE</w:t>
      </w:r>
    </w:p>
    <w:p>
      <w:pPr>
        <w:tabs>
          <w:tab w:pos="9648" w:val="right"/>
        </w:tabs>
        <w:spacing w:before="20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Senior Data Scientist</w:t>
      </w:r>
      <w:r>
        <w:rPr>
          <w:rFonts w:ascii="Calibri" w:hAnsi="Calibri" w:eastAsia="Calibri"/>
          <w:b w:val="0"/>
          <w:color w:val="555555"/>
          <w:sz w:val="20"/>
        </w:rPr>
        <w:tab/>
        <w:t>2021 – Present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2F6F6A"/>
          <w:sz w:val="20"/>
        </w:rPr>
        <w:t>Northline Analytics  ·  San Francisco, CA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Owned experimentation platform serving 40+ product squads; cut time-to-insight by 35%.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Shipped propensity models that lifted paid conversion +12% ($4.2M incremental ARR).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Mentored 4 junior scientists; established model-review checklist adopted org-wide.</w:t>
      </w:r>
    </w:p>
    <w:p>
      <w:pPr>
        <w:tabs>
          <w:tab w:pos="9648" w:val="right"/>
        </w:tabs>
        <w:spacing w:before="20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Data Scientist</w:t>
      </w:r>
      <w:r>
        <w:rPr>
          <w:rFonts w:ascii="Calibri" w:hAnsi="Calibri" w:eastAsia="Calibri"/>
          <w:b w:val="0"/>
          <w:color w:val="555555"/>
          <w:sz w:val="20"/>
        </w:rPr>
        <w:tab/>
        <w:t>2018 – 2021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2F6F6A"/>
          <w:sz w:val="20"/>
        </w:rPr>
        <w:t>Helix Health  ·  Remote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Built risk-stratification models for 1.2M patient records; reduced false positives 18%.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Partnered with clinical ops to redesign dashboards used daily by 200+ care managers.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Published internal white paper on uplift modeling for care outreach programs.</w:t>
      </w:r>
    </w:p>
    <w:p>
      <w:pPr>
        <w:tabs>
          <w:tab w:pos="9648" w:val="right"/>
        </w:tabs>
        <w:spacing w:before="20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Research Analyst</w:t>
      </w:r>
      <w:r>
        <w:rPr>
          <w:rFonts w:ascii="Calibri" w:hAnsi="Calibri" w:eastAsia="Calibri"/>
          <w:b w:val="0"/>
          <w:color w:val="555555"/>
          <w:sz w:val="20"/>
        </w:rPr>
        <w:tab/>
        <w:t>2016 – 2018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2F6F6A"/>
          <w:sz w:val="20"/>
        </w:rPr>
        <w:t>University Lab for Computational Social Science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Analyzed large-scale survey panels with hierarchical Bayesian models in R and Stan.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Co-authored peer-reviewed paper on network effects in online learning platforms.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EDUCATION</w:t>
      </w:r>
    </w:p>
    <w:p>
      <w:pPr>
        <w:tabs>
          <w:tab w:pos="9648" w:val="right"/>
        </w:tabs>
        <w:spacing w:before="16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M.S. Statistics</w:t>
      </w:r>
      <w:r>
        <w:rPr>
          <w:rFonts w:ascii="Calibri" w:hAnsi="Calibri" w:eastAsia="Calibri"/>
          <w:b w:val="0"/>
          <w:color w:val="555555"/>
          <w:sz w:val="20"/>
        </w:rPr>
        <w:tab/>
        <w:t>2016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555555"/>
          <w:sz w:val="20"/>
        </w:rPr>
        <w:t>University of California  ·  GPA 3.9</w:t>
      </w:r>
    </w:p>
    <w:p>
      <w:pPr>
        <w:tabs>
          <w:tab w:pos="9648" w:val="right"/>
        </w:tabs>
        <w:spacing w:before="16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B.S. Applied Mathematics</w:t>
      </w:r>
      <w:r>
        <w:rPr>
          <w:rFonts w:ascii="Calibri" w:hAnsi="Calibri" w:eastAsia="Calibri"/>
          <w:b w:val="0"/>
          <w:color w:val="555555"/>
          <w:sz w:val="20"/>
        </w:rPr>
        <w:tab/>
        <w:t>2014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555555"/>
          <w:sz w:val="20"/>
        </w:rPr>
        <w:t>Georgia Institute of Technology  ·  Magna Cum Laude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SELECTED WORK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Open-source contribution: experimental design utilities for Python (1.8k GitHub stars).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Invited talk: “Causal Inference in Product Analytics,” Data Council 2024.</w:t>
      </w:r>
    </w:p>
    <w:p>
      <w:pPr>
        <w:spacing w:before="360" w:after="0" w:line="259" w:lineRule="auto"/>
        <w:jc w:val="center"/>
      </w:pPr>
      <w:r>
        <w:rPr>
          <w:rFonts w:ascii="Georgia" w:hAnsi="Georgia" w:eastAsia="Georgia"/>
          <w:b w:val="0"/>
          <w:color w:val="8A857C"/>
          <w:sz w:val="16"/>
        </w:rPr>
        <w:t>·  MathRelaxing Editorial  ·</w:t>
      </w:r>
    </w:p>
    <w:sectPr w:rsidR="00FC693F" w:rsidRPr="0006063C" w:rsidSect="00034616">
      <w:headerReference w:type="default" r:id="rId9"/>
      <w:pgSz w:w="12240" w:h="15840"/>
      <w:pgMar w:top="864" w:right="1152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g_navy_e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