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80" w:line="259" w:lineRule="auto"/>
        <w:jc w:val="center"/>
      </w:pPr>
      <w:r>
        <w:rPr>
          <w:rFonts w:ascii="Georgia" w:hAnsi="Georgia" w:eastAsia="Georgia"/>
          <w:b/>
          <w:color w:val="12172D"/>
          <w:sz w:val="28"/>
        </w:rPr>
        <w:t>ALEX RIVERA  ·  REFERENCES</w:t>
      </w:r>
    </w:p>
    <w:p>
      <w:pPr>
        <w:spacing w:before="0" w:after="320" w:line="259" w:lineRule="auto"/>
        <w:jc w:val="center"/>
      </w:pPr>
      <w:r>
        <w:rPr>
          <w:rFonts w:ascii="Calibri" w:hAnsi="Calibri" w:eastAsia="Calibri"/>
          <w:b w:val="0"/>
          <w:color w:val="C9A24B"/>
          <w:sz w:val="20"/>
        </w:rPr>
        <w:t>Professional references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Dr. Jordan Lee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Director of Data Science, Northline Analytics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jordan.lee@email.com  ·  (555) 010-4411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Sam Okonkwo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VP Product, Helix Health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sam.okonkwo@email.com  ·  (555) 010-8822</w:t>
      </w:r>
    </w:p>
    <w:p>
      <w:pPr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4"/>
        </w:rPr>
        <w:t>Prof. Mira Chen</w:t>
      </w:r>
    </w:p>
    <w:p>
      <w:pPr>
        <w:spacing w:before="40" w:after="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Statistics, University of California</w:t>
      </w:r>
    </w:p>
    <w:p>
      <w:pPr>
        <w:spacing w:before="20" w:after="12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mira.chen@university.edu  ·  (555) 010-3399</w:t>
      </w:r>
    </w:p>
    <w:sectPr w:rsidR="00FC693F" w:rsidRPr="0006063C" w:rsidSect="00034616">
      <w:head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