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160" w:after="160" w:line="240" w:lineRule="auto"/>
        <w:jc w:val="center"/>
      </w:pPr>
      <w:r>
        <w:rPr>
          <w:rFonts w:ascii="Georgia" w:hAnsi="Georgia" w:eastAsia="Georgia"/>
          <w:b/>
          <w:i w:val="0"/>
          <w:color w:val="12172D"/>
          <w:sz w:val="40"/>
        </w:rPr>
        <w:t>C E L I N E   M O R A</w:t>
      </w:r>
    </w:p>
    <w:p>
      <w:pPr>
        <w:spacing w:before="40" w:after="0" w:line="240" w:lineRule="auto"/>
        <w:jc w:val="center"/>
        <w:pBdr>
          <w:bottom w:val="single" w:sz="4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40" w:after="200" w:line="240" w:lineRule="auto"/>
        <w:jc w:val="center"/>
        <w:pBdr>
          <w:bottom w:val="single" w:sz="12" w:space="1" w:color="C9A24B"/>
        </w:pBdr>
      </w:pPr>
      <w:r>
        <w:rPr>
          <w:rFonts w:ascii="Georgia" w:hAnsi="Georgia" w:eastAsia="Georgia"/>
          <w:b w:val="0"/>
          <w:i w:val="0"/>
          <w:color w:val="C9A24B"/>
          <w:sz w:val="6"/>
        </w:rPr>
        <w:t xml:space="preserve"> </w:t>
      </w:r>
    </w:p>
    <w:p>
      <w:pPr>
        <w:spacing w:before="80" w:after="60" w:line="269" w:lineRule="auto"/>
        <w:jc w:val="center"/>
      </w:pPr>
      <w:r>
        <w:rPr>
          <w:rFonts w:ascii="Georgia" w:hAnsi="Georgia" w:eastAsia="Georgia"/>
          <w:b w:val="0"/>
          <w:i/>
          <w:color w:val="C9A24B"/>
          <w:sz w:val="22"/>
        </w:rPr>
        <w:t>Applied Research Lead  ·  Product Strategy</w:t>
      </w:r>
    </w:p>
    <w:p>
      <w:pPr>
        <w:spacing w:before="0" w:after="28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 ·  New York, NY  ·  linkedin.com/in/celinemora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Profile</w:t>
      </w:r>
    </w:p>
    <w:p>
      <w:pPr>
        <w:spacing w:before="80" w:after="80" w:line="288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Capabilities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Core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  ·  Experimentation  ·  Bayesian modeling  ·  Decision science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Tools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  ·  SQL  ·  R  ·  Stan  ·  dbt  ·  Tableau  ·  Looker</w:t>
      </w:r>
    </w:p>
    <w:p>
      <w:pPr>
        <w:spacing w:before="60" w:after="40" w:line="276" w:lineRule="auto"/>
      </w:pPr>
      <w:r>
        <w:rPr>
          <w:rFonts w:ascii="Georgia" w:hAnsi="Georgia" w:eastAsia="Georgia"/>
          <w:b/>
          <w:i w:val="0"/>
          <w:color w:val="C9A24B"/>
          <w:sz w:val="19"/>
        </w:rPr>
        <w:t xml:space="preserve">Leadership  · 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  ·  Narrative design  ·  Cross-functional leadership  ·  Mentorship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Experience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Applied Research Lead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2021 – Present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Meridian Labs  ·  New York, NY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Senior Product Analyst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2017 – 2021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Northline  ·  Remote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tabs>
          <w:tab w:pos="9360" w:val="right"/>
        </w:tabs>
        <w:spacing w:before="22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Research Associate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 – 2017</w:t>
      </w:r>
    </w:p>
    <w:p>
      <w:pPr>
        <w:spacing w:before="20" w:after="60" w:line="269" w:lineRule="auto"/>
      </w:pPr>
      <w:r>
        <w:rPr>
          <w:rFonts w:ascii="Calibri" w:hAnsi="Calibri" w:eastAsia="Calibri"/>
          <w:b w:val="0"/>
          <w:i/>
          <w:color w:val="2F6F6A"/>
          <w:sz w:val="20"/>
        </w:rPr>
        <w:t>Institute for Decision Science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Education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Ph.D. Cognitive Systems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2014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Columbia University</w:t>
      </w:r>
    </w:p>
    <w:p>
      <w:pPr>
        <w:tabs>
          <w:tab w:pos="9360" w:val="right"/>
        </w:tabs>
        <w:spacing w:before="160" w:after="0" w:line="269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B.A. Mathematics &amp; Philosophy</w:t>
      </w:r>
      <w:r>
        <w:rPr>
          <w:rFonts w:ascii="Calibri" w:hAnsi="Calibri" w:eastAsia="Calibri"/>
          <w:b w:val="0"/>
          <w:i w:val="0"/>
          <w:color w:val="5C5A56"/>
          <w:sz w:val="19"/>
        </w:rPr>
        <w:tab/>
        <w:t>2009</w:t>
      </w:r>
    </w:p>
    <w:p>
      <w:pPr>
        <w:spacing w:before="2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Brown University  ·  Honors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Certifications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280" w:after="120" w:line="240" w:lineRule="auto"/>
        <w:pBdr>
          <w:bottom w:val="single" w:sz="8" w:space="5" w:color="C9A24B"/>
        </w:pBdr>
      </w:pPr>
      <w:r>
        <w:rPr>
          <w:rFonts w:ascii="Georgia" w:hAnsi="Georgia" w:eastAsia="Georgia"/>
          <w:b/>
          <w:i w:val="0"/>
          <w:caps/>
          <w:color w:val="12172D"/>
          <w:sz w:val="18"/>
        </w:rPr>
        <w:t>Languages</w:t>
      </w:r>
    </w:p>
    <w:p>
      <w:pPr>
        <w:spacing w:before="8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 ·  French (professional)  ·  Spanish (conversational)</w:t>
      </w:r>
    </w:p>
    <w:p>
      <w:pPr>
        <w:spacing w:before="360" w:after="0" w:line="269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·  MathRelaxing Atelier  ·</w:t>
      </w:r>
    </w:p>
    <w:sectPr w:rsidR="00FC693F" w:rsidRPr="0006063C" w:rsidSect="00034616">
      <w:headerReference w:type="default" r:id="rId9"/>
      <w:pgSz w:w="12240" w:h="15840"/>
      <w:pgMar w:top="1008" w:right="1368" w:bottom="86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Picture 1"/>
          <wp:cNvGraphicFramePr>
            <a:graphicFrameLocks noChangeAspect="1"/>
          </wp:cNvGraphicFramePr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bg_scientific_gri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