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8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44"/>
        </w:rPr>
        <w:t>CELINE MORA</w:t>
      </w:r>
    </w:p>
    <w:p>
      <w:pPr>
        <w:spacing w:before="40" w:after="120" w:line="269" w:lineRule="auto"/>
        <w:jc w:val="center"/>
      </w:pPr>
      <w:r>
        <w:rPr>
          <w:rFonts w:ascii="Georgia" w:hAnsi="Georgia" w:eastAsia="Georgia"/>
          <w:b w:val="0"/>
          <w:i w:val="0"/>
          <w:color w:val="C9A24B"/>
          <w:sz w:val="20"/>
        </w:rPr>
        <w:t>—  ·  —</w:t>
      </w:r>
    </w:p>
    <w:p>
      <w:pPr>
        <w:spacing w:before="0" w:after="40" w:line="269" w:lineRule="auto"/>
        <w:jc w:val="center"/>
      </w:pPr>
      <w:r>
        <w:rPr>
          <w:rFonts w:ascii="Georgia" w:hAnsi="Georgia" w:eastAsia="Georgia"/>
          <w:b w:val="0"/>
          <w:i/>
          <w:color w:val="5C5A56"/>
          <w:sz w:val="21"/>
        </w:rPr>
        <w:t>Applied Research Lead  ·  Product Strategy</w:t>
      </w:r>
    </w:p>
    <w:p>
      <w:pPr>
        <w:spacing w:before="0" w:after="28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celine.mora@email.com  ·  New York, NY</w:t>
      </w:r>
    </w:p>
    <w:p>
      <w:pPr>
        <w:spacing w:before="280" w:after="16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18"/>
        </w:rPr>
        <w:t>·  PROFILE  ·</w:t>
      </w:r>
    </w:p>
    <w:p>
      <w:pPr>
        <w:spacing w:before="0" w:after="120" w:line="300" w:lineRule="auto"/>
        <w:jc w:val="both"/>
      </w:pPr>
      <w:r>
        <w:rPr>
          <w:rFonts w:ascii="Georgia" w:hAnsi="Georgia" w:eastAsia="Georgia"/>
          <w:b w:val="0"/>
          <w:i w:val="0"/>
          <w:color w:val="1A1A1A"/>
          <w:sz w:val="21"/>
        </w:rPr>
        <w:t>Research lead bridging quantitative rigor and product judgment. Twelve years across labs, startups, and platform teams — designing experiments, shipping decision systems, and writing clearly for executives who need signal, not slides.</w:t>
      </w:r>
    </w:p>
    <w:p>
      <w:pPr>
        <w:spacing w:before="280" w:after="16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18"/>
        </w:rPr>
        <w:t>·  CAPABILITIES  ·</w:t>
      </w:r>
    </w:p>
    <w:p>
      <w:pPr>
        <w:spacing w:before="0" w:after="120" w:line="288" w:lineRule="auto"/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Causal inference  ·  Experimentation  ·  Bayesian modeling  ·  Python  ·  SQL  ·  R  ·  Product strategy  ·  Narrative design  ·  Stakeholder leadership</w:t>
      </w:r>
    </w:p>
    <w:p>
      <w:pPr>
        <w:spacing w:before="280" w:after="16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18"/>
        </w:rPr>
        <w:t>·  EXPERIENCE  ·</w:t>
      </w:r>
    </w:p>
    <w:p>
      <w:pPr>
        <w:spacing w:before="200" w:after="2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22"/>
        </w:rPr>
        <w:t>Applied Research Lead</w:t>
      </w:r>
    </w:p>
    <w:p>
      <w:pPr>
        <w:spacing w:before="0" w:after="80" w:line="269" w:lineRule="auto"/>
        <w:jc w:val="center"/>
      </w:pPr>
      <w:r>
        <w:rPr>
          <w:rFonts w:ascii="Calibri" w:hAnsi="Calibri" w:eastAsia="Calibri"/>
          <w:b w:val="0"/>
          <w:i/>
          <w:color w:val="2F6F6A"/>
          <w:sz w:val="19"/>
        </w:rPr>
        <w:t>Meridian Labs  ·  New York, NY  ·  2021 – Present</w:t>
      </w:r>
    </w:p>
    <w:p>
      <w:pPr>
        <w:spacing w:before="20" w:after="40" w:line="276" w:lineRule="auto"/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–  Directed a 7-person research pod; roadmap influenced 3 major product bets ($18M ARR).</w:t>
      </w:r>
    </w:p>
    <w:p>
      <w:pPr>
        <w:spacing w:before="20" w:after="40" w:line="276" w:lineRule="auto"/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–  Rebuilt experimentation governance; reduced underpowered tests by 40% in two quarters.</w:t>
      </w:r>
    </w:p>
    <w:p>
      <w:pPr>
        <w:spacing w:before="20" w:after="40" w:line="276" w:lineRule="auto"/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–  Established a research writing standard adopted by product, design, and data science.</w:t>
      </w:r>
    </w:p>
    <w:p>
      <w:pPr>
        <w:spacing w:before="200" w:after="2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22"/>
        </w:rPr>
        <w:t>Senior Product Analyst</w:t>
      </w:r>
    </w:p>
    <w:p>
      <w:pPr>
        <w:spacing w:before="0" w:after="80" w:line="269" w:lineRule="auto"/>
        <w:jc w:val="center"/>
      </w:pPr>
      <w:r>
        <w:rPr>
          <w:rFonts w:ascii="Calibri" w:hAnsi="Calibri" w:eastAsia="Calibri"/>
          <w:b w:val="0"/>
          <w:i/>
          <w:color w:val="2F6F6A"/>
          <w:sz w:val="19"/>
        </w:rPr>
        <w:t>Northline  ·  Remote  ·  2017 – 2021</w:t>
      </w:r>
    </w:p>
    <w:p>
      <w:pPr>
        <w:spacing w:before="20" w:after="40" w:line="276" w:lineRule="auto"/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–  Owned growth analytics for a 4M-user surface; +9% activation via sequenced onboarding.</w:t>
      </w:r>
    </w:p>
    <w:p>
      <w:pPr>
        <w:spacing w:before="20" w:after="40" w:line="276" w:lineRule="auto"/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–  Partnered with design systems to quantify component impact (latency vs. conversion).</w:t>
      </w:r>
    </w:p>
    <w:p>
      <w:pPr>
        <w:spacing w:before="20" w:after="40" w:line="276" w:lineRule="auto"/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–  Mentored analysts; two promoted to senior within 18 months.</w:t>
      </w:r>
    </w:p>
    <w:p>
      <w:pPr>
        <w:spacing w:before="200" w:after="2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22"/>
        </w:rPr>
        <w:t>Research Associate</w:t>
      </w:r>
    </w:p>
    <w:p>
      <w:pPr>
        <w:spacing w:before="0" w:after="80" w:line="269" w:lineRule="auto"/>
        <w:jc w:val="center"/>
      </w:pPr>
      <w:r>
        <w:rPr>
          <w:rFonts w:ascii="Calibri" w:hAnsi="Calibri" w:eastAsia="Calibri"/>
          <w:b w:val="0"/>
          <w:i/>
          <w:color w:val="2F6F6A"/>
          <w:sz w:val="19"/>
        </w:rPr>
        <w:t>Institute for Decision Science  ·  2014 – 2017</w:t>
      </w:r>
    </w:p>
    <w:p>
      <w:pPr>
        <w:spacing w:before="20" w:after="40" w:line="276" w:lineRule="auto"/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–  Published peer-reviewed work on multi-armed bandits for adaptive surveys.</w:t>
      </w:r>
    </w:p>
    <w:p>
      <w:pPr>
        <w:spacing w:before="20" w:after="40" w:line="276" w:lineRule="auto"/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–  Built reproducible analysis pipelines later open-sourced by the lab.</w:t>
      </w:r>
    </w:p>
    <w:p>
      <w:pPr>
        <w:spacing w:before="280" w:after="16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18"/>
        </w:rPr>
        <w:t>·  EDUCATION &amp; MORE  ·</w:t>
      </w:r>
    </w:p>
    <w:p>
      <w:pPr>
        <w:spacing w:before="80" w:after="40" w:line="269" w:lineRule="auto"/>
        <w:jc w:val="center"/>
      </w:pPr>
      <w:r>
        <w:rPr>
          <w:rFonts w:ascii="Georgia" w:hAnsi="Georgia" w:eastAsia="Georgia"/>
          <w:b w:val="0"/>
          <w:i w:val="0"/>
          <w:color w:val="1A1A1A"/>
          <w:sz w:val="20"/>
        </w:rPr>
        <w:t>Ph.D. Cognitive Systems  ·  Columbia University  ·  2014</w:t>
      </w:r>
    </w:p>
    <w:p>
      <w:pPr>
        <w:spacing w:before="80" w:after="40" w:line="269" w:lineRule="auto"/>
        <w:jc w:val="center"/>
      </w:pPr>
      <w:r>
        <w:rPr>
          <w:rFonts w:ascii="Georgia" w:hAnsi="Georgia" w:eastAsia="Georgia"/>
          <w:b w:val="0"/>
          <w:i w:val="0"/>
          <w:color w:val="1A1A1A"/>
          <w:sz w:val="20"/>
        </w:rPr>
        <w:t>B.A. Mathematics &amp; Philosophy  ·  Brown University  ·  Honors  ·  2009</w:t>
      </w:r>
    </w:p>
    <w:p>
      <w:pPr>
        <w:spacing w:before="160" w:after="4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9"/>
        </w:rPr>
        <w:t>English (native)  ·  French (professional)  ·  Spanish (conversational)</w:t>
      </w:r>
    </w:p>
    <w:p>
      <w:pPr>
        <w:spacing w:before="360" w:after="0" w:line="269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Atelier  ·  Manuscript</w:t>
      </w:r>
    </w:p>
    <w:sectPr w:rsidR="00FC693F" w:rsidRPr="0006063C" w:rsidSect="00034616">
      <w:pgSz w:w="12240" w:h="15840"/>
      <w:pgMar w:top="1152" w:right="1512" w:bottom="1008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