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80" w:after="8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C E L I N E   M O R A</w:t>
      </w:r>
    </w:p>
    <w:p>
      <w:pPr>
        <w:spacing w:before="0" w:after="80" w:line="269" w:lineRule="auto"/>
        <w:jc w:val="center"/>
      </w:pPr>
      <w:r>
        <w:rPr>
          <w:rFonts w:ascii="Georgia" w:hAnsi="Georgia" w:eastAsia="Georgia"/>
          <w:b/>
          <w:i w:val="0"/>
          <w:caps/>
          <w:color w:val="C9A24B"/>
          <w:sz w:val="18"/>
        </w:rPr>
        <w:t>SELECTED WORK  ·  ONE-PAGER</w:t>
      </w:r>
    </w:p>
    <w:p>
      <w:pPr>
        <w:spacing w:before="40" w:after="240" w:line="269" w:lineRule="auto"/>
        <w:pBdr>
          <w:bottom w:val="single" w:sz="10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Experimentation governance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Cut underpowered tests 40%; created a review checklist now used by 40+ squads.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Decision quality essays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Independent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Series with 40k readers; translated research craft for product audiences.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Growth activation system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+9% activation via sequenced onboarding informed by causal analysis.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320" w:after="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MathRelaxing Atelier</w:t>
      </w:r>
    </w:p>
    <w:sectPr w:rsidR="00FC693F" w:rsidRPr="0006063C" w:rsidSect="00034616">
      <w:pgSz w:w="12240" w:h="15840"/>
      <w:pgMar w:top="1008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