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 톤,발음이 좋습니다 6G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5G 다운로드 속도 차세대 각광받고 있는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본인이 생각하기에 현재 6G가 가장 필요한 분야?? 자율주행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새로운 기술 개발보다는 현재에 집중??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초반에 비해 정말 좋습니다.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학습경험을 통한 인적 인프라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데이터 분석 국비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서버개발자 선택 이유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남이 설계, 제작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리눅스 ,vm, 웹사이트 구현, 서브도메인, 웹사이트, erd설계, 자바, 스프링부트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erd 설계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수원시 지역화폐 → 상권분석 이용자의 지역, 폴리훔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비전공자로서 IT 흥미 위주 →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erd 관계형 디비 테이블 설계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리눅스 이중포문의 시간복잡도 비효율적 &amp; api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→답변이 앞까지만 짤라도 괜찮았을것같다 충분히 잘했다.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인적인프라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답변 좋았습니다 꼬리질문도 좋았습니다.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지구과학 , 환경보존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CRUD 서버 호출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한국의 신호체계 알아본 경험 좋습니다!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취업에 부족한 역량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한국 해양 대외활동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웹드라마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생각보다 본인전공에 열심히 했는데 전향이유?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심도깊은 학습 급하게 말씀해주신 거일텐데 좋았습니다. 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