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788B2459" w14:textId="5E457137" w:rsidR="003111F6" w:rsidRDefault="003111F6" w:rsidP="003111F6">
      <w:pPr>
        <w:pStyle w:val="Heading2"/>
      </w:pPr>
      <w:r>
        <w:t>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3A6059" w14:paraId="72FB617B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6080D65B" w14:textId="11A91154" w:rsidR="003A6059" w:rsidRDefault="003A6059">
            <w:pPr>
              <w:pStyle w:val="Def"/>
            </w:pPr>
            <w:r>
              <w:t>Divisor</w:t>
            </w:r>
          </w:p>
        </w:tc>
        <w:tc>
          <w:tcPr>
            <w:tcW w:w="5468" w:type="dxa"/>
            <w:hideMark/>
          </w:tcPr>
          <w:p w14:paraId="49AC5310" w14:textId="5FF9509C" w:rsidR="003A6059" w:rsidRPr="005E6297" w:rsidRDefault="003A6059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p|q</m:t>
              </m:r>
            </m:oMath>
            <w:r>
              <w:t xml:space="preserve"> we say p is a factor or divisor of q and q is divisible by p. P is a multiple of q</w:t>
            </w:r>
          </w:p>
        </w:tc>
      </w:tr>
      <w:tr w:rsidR="003A6059" w14:paraId="095EF6BF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30D78F44" w14:textId="41E1C738" w:rsidR="003A6059" w:rsidRDefault="005E6297">
            <w:pPr>
              <w:pStyle w:val="Def"/>
            </w:pPr>
            <w:r w:rsidRPr="005E6297">
              <w:t>Fundamental theorum of Arithmetic</w:t>
            </w:r>
          </w:p>
        </w:tc>
        <w:tc>
          <w:tcPr>
            <w:tcW w:w="5468" w:type="dxa"/>
            <w:hideMark/>
          </w:tcPr>
          <w:p w14:paraId="589FE69D" w14:textId="7E4476C4" w:rsidR="003A6059" w:rsidRPr="00CD63EB" w:rsidRDefault="005E6297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 can be expressed as the product of prime factors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</w:p>
        </w:tc>
      </w:tr>
      <w:tr w:rsidR="00EA15EF" w14:paraId="59DA2C0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8D85BD1" w14:textId="4F32302A" w:rsidR="00EA15EF" w:rsidRPr="005E6297" w:rsidRDefault="00EA15EF">
            <w:pPr>
              <w:pStyle w:val="Def"/>
            </w:pPr>
            <w:r>
              <w:t>Highest Common Factor</w:t>
            </w:r>
          </w:p>
        </w:tc>
        <w:tc>
          <w:tcPr>
            <w:tcW w:w="5468" w:type="dxa"/>
          </w:tcPr>
          <w:p w14:paraId="2F473572" w14:textId="3726D093" w:rsidR="00EA15EF" w:rsidRDefault="00EA15EF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highest number that is a divisor of two number. Given two integers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  <w:r>
              <w:t>,</w:t>
            </w:r>
            <w:r w:rsidR="00976D7C">
              <w:t xml:space="preserve"> and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>
              <w:t xml:space="preserve"> we can calculate the highest common factor as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sup>
              </m:sSubSup>
            </m:oMath>
          </w:p>
        </w:tc>
      </w:tr>
      <w:tr w:rsidR="009A2822" w14:paraId="024151D7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3A2E19F" w14:textId="26761F23" w:rsidR="009A2822" w:rsidRDefault="009A2822">
            <w:pPr>
              <w:pStyle w:val="Def"/>
            </w:pPr>
            <w:r>
              <w:t>Lowest Common Multiple</w:t>
            </w:r>
          </w:p>
        </w:tc>
        <w:tc>
          <w:tcPr>
            <w:tcW w:w="5468" w:type="dxa"/>
          </w:tcPr>
          <w:p w14:paraId="3AB664AF" w14:textId="64DE56A2" w:rsidR="009A2822" w:rsidRDefault="009A2822" w:rsidP="00EA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lowest number which is a multiple of two numbers</w:t>
            </w:r>
          </w:p>
        </w:tc>
      </w:tr>
      <w:tr w:rsidR="00846744" w14:paraId="21E241D4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AAF8A10" w14:textId="3885F11C" w:rsidR="00846744" w:rsidRDefault="00846744">
            <w:pPr>
              <w:pStyle w:val="Def"/>
            </w:pPr>
            <w:r>
              <w:t>Relating HCM and LCM</w:t>
            </w:r>
          </w:p>
        </w:tc>
        <w:tc>
          <w:tcPr>
            <w:tcW w:w="5468" w:type="dxa"/>
          </w:tcPr>
          <w:p w14:paraId="0B5047E1" w14:textId="75B492D8" w:rsidR="00846744" w:rsidRPr="00CD63EB" w:rsidRDefault="00846744" w:rsidP="009A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x×y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hcf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x,y</m:t>
                        </m:r>
                      </m:e>
                    </m:d>
                  </m:den>
                </m:f>
              </m:oMath>
            </m:oMathPara>
          </w:p>
        </w:tc>
      </w:tr>
      <w:tr w:rsidR="000A3CB4" w14:paraId="625236D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5F490A4" w14:textId="146CEBAC" w:rsidR="000A3CB4" w:rsidRDefault="000A3CB4">
            <w:pPr>
              <w:pStyle w:val="Def"/>
            </w:pPr>
            <w:r>
              <w:t>Euclids Algorithm</w:t>
            </w:r>
          </w:p>
        </w:tc>
        <w:tc>
          <w:tcPr>
            <w:tcW w:w="5468" w:type="dxa"/>
          </w:tcPr>
          <w:p w14:paraId="025DC4C4" w14:textId="71ED71C0" w:rsidR="000A3CB4" w:rsidRPr="00CD63EB" w:rsidRDefault="000A3CB4" w:rsidP="0084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</w:rPr>
                  <m:t>gcd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</w:tr>
      <w:tr w:rsidR="00CD63EB" w14:paraId="58653DE1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18CFCAC" w14:textId="17553281" w:rsidR="00CD63EB" w:rsidRDefault="00CD63EB">
            <w:pPr>
              <w:pStyle w:val="Def"/>
            </w:pPr>
            <w:r>
              <w:t>Floor</w:t>
            </w:r>
          </w:p>
        </w:tc>
        <w:tc>
          <w:tcPr>
            <w:tcW w:w="5468" w:type="dxa"/>
          </w:tcPr>
          <w:p w14:paraId="18CD572A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28C63ED5" w14:textId="69B8BF4B" w:rsidR="00CD63EB" w:rsidRPr="00CD63EB" w:rsidRDefault="00CD63EB" w:rsidP="000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</w:tc>
      </w:tr>
      <w:tr w:rsidR="00CD63EB" w14:paraId="39ED02A8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A1DFB26" w14:textId="22695C15" w:rsidR="00CD63EB" w:rsidRDefault="00CD63EB">
            <w:pPr>
              <w:pStyle w:val="Def"/>
            </w:pPr>
            <w:r>
              <w:t>Ceiling</w:t>
            </w:r>
          </w:p>
        </w:tc>
        <w:tc>
          <w:tcPr>
            <w:tcW w:w="5468" w:type="dxa"/>
          </w:tcPr>
          <w:p w14:paraId="47D698D3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0EB1B6DD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  <w:p w14:paraId="2B38B7B9" w14:textId="77777777" w:rsid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0BE35767" w14:textId="77777777" w:rsidR="006573B0" w:rsidRDefault="006573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0" w:name="_GoBack"/>
      <w:bookmarkEnd w:id="0"/>
      <w:r>
        <w:br w:type="page"/>
      </w:r>
    </w:p>
    <w:p w14:paraId="3B06F3A0" w14:textId="7029BA77" w:rsidR="00A65AC0" w:rsidRDefault="00A65AC0" w:rsidP="00A65AC0">
      <w:pPr>
        <w:pStyle w:val="Heading2"/>
      </w:pPr>
      <w:r>
        <w:lastRenderedPageBreak/>
        <w:t>Fundamental Theorum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14C4C5B0" w:rsidR="00322581" w:rsidRDefault="00322581" w:rsidP="00322581">
      <w:pPr>
        <w:pStyle w:val="Caption"/>
        <w:keepNext/>
      </w:pPr>
      <w:r>
        <w:t xml:space="preserve">Figure </w:t>
      </w:r>
      <w:fldSimple w:instr=" SEQ Figure \* ARABIC ">
        <w:r w:rsidR="00F50EA0">
          <w:rPr>
            <w:noProof/>
          </w:rPr>
          <w:t>1</w:t>
        </w:r>
      </w:fldSimple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B20C" w14:textId="50FC4292" w:rsidR="00F028AE" w:rsidRDefault="0084613F" w:rsidP="00F028AE">
      <w:pPr>
        <w:pStyle w:val="Heading2"/>
      </w:pPr>
      <w:r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C566EC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C566EC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C566EC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C566EC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C566EC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C566EC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7777777" w:rsidR="00910AC0" w:rsidRDefault="00C6329E" w:rsidP="00910AC0">
      <w:pPr>
        <w:pStyle w:val="Heading3"/>
      </w:pPr>
      <w:r>
        <w:br w:type="page"/>
      </w:r>
      <w:r w:rsidR="00910AC0">
        <w:lastRenderedPageBreak/>
        <w:t>Euclids Algorithm for 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C566EC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C566EC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C566EC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C566EC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C566EC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03pt" o:ole="">
            <v:imagedata r:id="rId10" o:title=""/>
          </v:shape>
          <o:OLEObject Type="Embed" ProgID="Word.OpenDocumentText.12" ShapeID="_x0000_i1025" DrawAspect="Content" ObjectID="_1628411748" r:id="rId11"/>
        </w:object>
      </w:r>
    </w:p>
    <w:p w14:paraId="73025002" w14:textId="5565E64E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7A5A3F41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fldSimple w:instr=" SEQ Figure \* ARABIC ">
        <w:r w:rsidR="00F50EA0">
          <w:rPr>
            <w:noProof/>
          </w:rPr>
          <w:t>2</w:t>
        </w:r>
      </w:fldSimple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7BCA3BEA" w:rsidR="00621051" w:rsidRDefault="00621051" w:rsidP="00621051">
      <w:pPr>
        <w:pStyle w:val="ListBulletHeader"/>
      </w:pPr>
      <w:r>
        <w:t xml:space="preserve">Listing </w:t>
      </w:r>
      <w:fldSimple w:instr=" SEQ Listing \* ARABIC ">
        <w:r w:rsidR="00F50EA0">
          <w:rPr>
            <w:noProof/>
          </w:rPr>
          <w:t>1</w:t>
        </w:r>
      </w:fldSimple>
      <w:r>
        <w:t xml:space="preserve"> Examples</w:t>
      </w:r>
    </w:p>
    <w:p w14:paraId="5783F246" w14:textId="07C59970" w:rsidR="002D2F78" w:rsidRPr="002D2F78" w:rsidRDefault="00C566EC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C566EC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C566EC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C566EC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C566EC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C566EC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lastRenderedPageBreak/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C566EC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C566EC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C566EC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C566EC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C566EC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C566EC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1C54C5C6" w:rsidR="00B102D1" w:rsidRPr="009C7180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sectPr w:rsidR="00B102D1" w:rsidRPr="009C7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B57B" w14:textId="77777777" w:rsidR="00C566EC" w:rsidRDefault="00C566EC" w:rsidP="00DC0620">
      <w:r>
        <w:separator/>
      </w:r>
    </w:p>
  </w:endnote>
  <w:endnote w:type="continuationSeparator" w:id="0">
    <w:p w14:paraId="25E4BB64" w14:textId="77777777" w:rsidR="00C566EC" w:rsidRDefault="00C566EC" w:rsidP="00DC0620">
      <w:r>
        <w:continuationSeparator/>
      </w:r>
    </w:p>
  </w:endnote>
  <w:endnote w:type="continuationNotice" w:id="1">
    <w:p w14:paraId="35A04213" w14:textId="77777777" w:rsidR="00C566EC" w:rsidRDefault="00C56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A61A" w14:textId="77777777" w:rsidR="00C566EC" w:rsidRDefault="00C566EC" w:rsidP="00DC0620">
      <w:r>
        <w:separator/>
      </w:r>
    </w:p>
  </w:footnote>
  <w:footnote w:type="continuationSeparator" w:id="0">
    <w:p w14:paraId="1C47D975" w14:textId="77777777" w:rsidR="00C566EC" w:rsidRDefault="00C566EC" w:rsidP="00DC0620">
      <w:r>
        <w:continuationSeparator/>
      </w:r>
    </w:p>
  </w:footnote>
  <w:footnote w:type="continuationNotice" w:id="1">
    <w:p w14:paraId="19463695" w14:textId="77777777" w:rsidR="00C566EC" w:rsidRDefault="00C566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503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DF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CB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8D9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69B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11F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5BB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059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5C77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FD9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297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B0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20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0D6B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69F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1679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60D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4674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74A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D7C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822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BFE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13A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5E84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21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4"/>
    <w:rsid w:val="00BC2D3D"/>
    <w:rsid w:val="00BC4430"/>
    <w:rsid w:val="00BC4D89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6EC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3EB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4CC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5EF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39B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EA0"/>
    <w:rsid w:val="00F5176B"/>
    <w:rsid w:val="00F518F6"/>
    <w:rsid w:val="00F5329A"/>
    <w:rsid w:val="00F53343"/>
    <w:rsid w:val="00F53660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0E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BAF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5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5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5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605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A605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A605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60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0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0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0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A60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605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605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605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605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A605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A605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A605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05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05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05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A605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605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A605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A605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A605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A605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A605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A605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A60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05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3A6059"/>
    <w:rPr>
      <w:b/>
    </w:rPr>
  </w:style>
  <w:style w:type="numbering" w:customStyle="1" w:styleId="KennysListStyles">
    <w:name w:val="KennysListStyles"/>
    <w:uiPriority w:val="99"/>
    <w:rsid w:val="003A605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A6059"/>
    <w:rPr>
      <w:b/>
    </w:rPr>
  </w:style>
  <w:style w:type="paragraph" w:customStyle="1" w:styleId="Answer">
    <w:name w:val="Answer"/>
    <w:basedOn w:val="Normal"/>
    <w:qFormat/>
    <w:rsid w:val="003A605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3A605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A6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A605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A605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A6059"/>
    <w:rPr>
      <w:smallCaps/>
    </w:rPr>
  </w:style>
  <w:style w:type="paragraph" w:customStyle="1" w:styleId="SourceCodeCaption">
    <w:name w:val="Source Code Caption"/>
    <w:basedOn w:val="Normal"/>
    <w:rsid w:val="003A605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A605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605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605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A605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A6059"/>
    <w:rPr>
      <w:b/>
      <w:smallCaps/>
    </w:rPr>
  </w:style>
  <w:style w:type="paragraph" w:customStyle="1" w:styleId="NumberedList">
    <w:name w:val="Numbered List"/>
    <w:basedOn w:val="Normal"/>
    <w:qFormat/>
    <w:rsid w:val="003A605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A605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A605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A6059"/>
  </w:style>
  <w:style w:type="paragraph" w:styleId="ListNumber">
    <w:name w:val="List Number"/>
    <w:basedOn w:val="Normal"/>
    <w:uiPriority w:val="99"/>
    <w:unhideWhenUsed/>
    <w:rsid w:val="003A605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A605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A605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A605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A605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A60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A605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A605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A605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A605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A605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6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5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A6059"/>
    <w:rPr>
      <w:smallCaps/>
    </w:rPr>
  </w:style>
  <w:style w:type="paragraph" w:customStyle="1" w:styleId="TableCellNormal">
    <w:name w:val="Table Cell Normal"/>
    <w:basedOn w:val="Normal"/>
    <w:qFormat/>
    <w:rsid w:val="003A605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A605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A605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A605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A605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A605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A605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A605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A6059"/>
    <w:rPr>
      <w:i/>
      <w:iCs/>
    </w:rPr>
  </w:style>
  <w:style w:type="character" w:customStyle="1" w:styleId="CommandChar">
    <w:name w:val="Command Char"/>
    <w:basedOn w:val="DefaultParagraphFont"/>
    <w:link w:val="Command"/>
    <w:rsid w:val="003A605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A605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A605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A605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A605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A605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A605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A6059"/>
    <w:pPr>
      <w:spacing w:after="0"/>
      <w:ind w:left="924" w:hanging="357"/>
    </w:pPr>
  </w:style>
  <w:style w:type="paragraph" w:customStyle="1" w:styleId="a">
    <w:name w:val="`"/>
    <w:basedOn w:val="Normal"/>
    <w:qFormat/>
    <w:rsid w:val="003A605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A605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A605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A605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A6059"/>
    <w:rPr>
      <w:b/>
      <w:smallCaps/>
    </w:rPr>
  </w:style>
  <w:style w:type="table" w:customStyle="1" w:styleId="SimpleDefinition">
    <w:name w:val="SimpleDefinition"/>
    <w:basedOn w:val="TableNormal"/>
    <w:uiPriority w:val="99"/>
    <w:rsid w:val="003A605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A605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A605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A605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A605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3A605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A605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A605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A6059"/>
    <w:rPr>
      <w:color w:val="4BACC6" w:themeColor="accent5"/>
    </w:rPr>
  </w:style>
  <w:style w:type="paragraph" w:customStyle="1" w:styleId="ToDoSection">
    <w:name w:val="ToDo Section"/>
    <w:basedOn w:val="Heading1"/>
    <w:qFormat/>
    <w:rsid w:val="003A6059"/>
  </w:style>
  <w:style w:type="paragraph" w:customStyle="1" w:styleId="ToDoQuestionHeader">
    <w:name w:val="ToDo Question Header"/>
    <w:basedOn w:val="Question"/>
    <w:qFormat/>
    <w:rsid w:val="003A6059"/>
  </w:style>
  <w:style w:type="paragraph" w:customStyle="1" w:styleId="ToDoDetails">
    <w:name w:val="ToDoDetails"/>
    <w:basedOn w:val="Normal"/>
    <w:qFormat/>
    <w:rsid w:val="003A6059"/>
  </w:style>
  <w:style w:type="paragraph" w:customStyle="1" w:styleId="CodeExampleCode">
    <w:name w:val="Code Example Code"/>
    <w:basedOn w:val="Normal"/>
    <w:rsid w:val="003A605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A605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A605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A605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A6059"/>
  </w:style>
  <w:style w:type="paragraph" w:customStyle="1" w:styleId="questionsubsection2">
    <w:name w:val="question sub section 2"/>
    <w:basedOn w:val="Heading4"/>
    <w:qFormat/>
    <w:rsid w:val="003A6059"/>
  </w:style>
  <w:style w:type="paragraph" w:customStyle="1" w:styleId="ListBulletHeader2">
    <w:name w:val="List Bullet Header 2"/>
    <w:basedOn w:val="Normal"/>
    <w:next w:val="ListBullet"/>
    <w:qFormat/>
    <w:rsid w:val="003A605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3A605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A605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A605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paragraph" w:customStyle="1" w:styleId="ProofHeading">
    <w:name w:val="Proof Heading"/>
    <w:basedOn w:val="Def"/>
    <w:qFormat/>
    <w:rsid w:val="003A605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8B9FB-69F5-4AEA-8A12-3F5A1E36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2743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113</cp:revision>
  <cp:lastPrinted>2019-08-27T10:49:00Z</cp:lastPrinted>
  <dcterms:created xsi:type="dcterms:W3CDTF">2019-08-17T19:56:00Z</dcterms:created>
  <dcterms:modified xsi:type="dcterms:W3CDTF">2019-08-27T10:49:00Z</dcterms:modified>
</cp:coreProperties>
</file>