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D78D132" w:rsidR="00CE23AA" w:rsidRDefault="00410C54" w:rsidP="0036239E">
      <w:pPr>
        <w:pStyle w:val="DocumentTitle"/>
        <w:ind w:firstLine="0"/>
      </w:pPr>
      <w:r>
        <w:t>Series</w:t>
      </w:r>
    </w:p>
    <w:p w14:paraId="3EFE1C8B" w14:textId="1912DDA2" w:rsidR="00410C54" w:rsidRDefault="00A250E5" w:rsidP="00A250E5">
      <w:pPr>
        <w:pStyle w:val="Heading2"/>
      </w:pPr>
      <w:r>
        <w:t>Introduction</w:t>
      </w:r>
    </w:p>
    <w:p w14:paraId="4FAB01C1" w14:textId="7DE806F2" w:rsidR="0007301E" w:rsidRDefault="0007301E" w:rsidP="0007301E">
      <w:r>
        <w:t xml:space="preserve">Even elementary functions can be difficult to work with. Even simple functions like </w:t>
      </w:r>
      <w:r w:rsidRPr="00397607">
        <w:rPr>
          <w:position w:val="-10"/>
        </w:rPr>
        <w:object w:dxaOrig="639" w:dyaOrig="320" w14:anchorId="198397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.75pt;height:16.05pt" o:ole="">
            <v:imagedata r:id="rId8" o:title=""/>
          </v:shape>
          <o:OLEObject Type="Embed" ProgID="Equation.3" ShapeID="_x0000_i1027" DrawAspect="Content" ObjectID="_1627666358" r:id="rId9"/>
        </w:object>
      </w:r>
      <w:r>
        <w:t>can be difficult to evaluate because every integer input results in an irrational. A small subset, however, known as the polynomials are much easier to work with because they are</w:t>
      </w:r>
    </w:p>
    <w:p w14:paraId="6E6F3801" w14:textId="77777777" w:rsidR="0007301E" w:rsidRDefault="0007301E" w:rsidP="0007301E">
      <w:pPr>
        <w:pStyle w:val="ListBullet"/>
      </w:pPr>
      <w:r>
        <w:t>Easy to integrate</w:t>
      </w:r>
    </w:p>
    <w:p w14:paraId="3BC477F9" w14:textId="77777777" w:rsidR="0007301E" w:rsidRDefault="0007301E" w:rsidP="0007301E">
      <w:pPr>
        <w:pStyle w:val="ListBullet"/>
      </w:pPr>
      <w:r>
        <w:t>Easy to evaluate for any value of x</w:t>
      </w:r>
    </w:p>
    <w:p w14:paraId="7B3B5DCD" w14:textId="77777777" w:rsidR="0007301E" w:rsidRDefault="0007301E" w:rsidP="0007301E">
      <w:pPr>
        <w:pStyle w:val="ListBullet"/>
      </w:pPr>
      <w:r>
        <w:t>Infinitely differentiable</w:t>
      </w:r>
    </w:p>
    <w:p w14:paraId="2F8A7337" w14:textId="77777777" w:rsidR="0007301E" w:rsidRDefault="0007301E" w:rsidP="0007301E"/>
    <w:p w14:paraId="6D72D4A0" w14:textId="77777777" w:rsidR="0007301E" w:rsidRDefault="0007301E" w:rsidP="0007301E">
      <w:r>
        <w:t>The tactic of expressing complicated functions as infinite series motivates much of the study of infinite series</w:t>
      </w:r>
    </w:p>
    <w:p w14:paraId="03CD5829" w14:textId="6D6F5CE2" w:rsidR="00A250E5" w:rsidRDefault="00CE4E45" w:rsidP="0007301E">
      <w:pPr>
        <w:pStyle w:val="Heading2"/>
      </w:pPr>
      <w:r>
        <w:t>Sums</w:t>
      </w:r>
    </w:p>
    <w:p w14:paraId="15581AC4" w14:textId="7CAB557F" w:rsidR="009E3289" w:rsidRPr="001B265A" w:rsidRDefault="009E3289" w:rsidP="00F413B7">
      <w:pPr>
        <w:pStyle w:val="Heading3"/>
      </w:pPr>
      <w:r>
        <w:rPr>
          <w:rFonts w:eastAsiaTheme="minorHAnsi"/>
          <w:lang w:eastAsia="en-US"/>
        </w:rPr>
        <w:t xml:space="preserve">Properties of </w:t>
      </w:r>
      <w:r w:rsidR="00F413B7">
        <w:rPr>
          <w:rFonts w:eastAsiaTheme="minorHAnsi"/>
          <w:lang w:eastAsia="en-US"/>
        </w:rPr>
        <w:t>Sums</w:t>
      </w:r>
      <w:r>
        <w:rPr>
          <w:rFonts w:eastAsiaTheme="minorHAnsi"/>
          <w:lang w:eastAsia="en-US"/>
        </w:rPr>
        <w:tab/>
      </w:r>
    </w:p>
    <w:p w14:paraId="70079649" w14:textId="77D7252D" w:rsidR="009E3289" w:rsidRDefault="009E3289" w:rsidP="009E3289">
      <w:pPr>
        <w:pStyle w:val="TableCaption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Properties of </w:t>
      </w:r>
      <w:r w:rsidR="00F413B7">
        <w:t>Sums</w:t>
      </w:r>
    </w:p>
    <w:tbl>
      <w:tblPr>
        <w:tblStyle w:val="NumberedDescription"/>
        <w:tblW w:w="0" w:type="auto"/>
        <w:tblLook w:val="04A0" w:firstRow="1" w:lastRow="0" w:firstColumn="1" w:lastColumn="0" w:noHBand="0" w:noVBand="1"/>
      </w:tblPr>
      <w:tblGrid>
        <w:gridCol w:w="1418"/>
        <w:gridCol w:w="7212"/>
      </w:tblGrid>
      <w:tr w:rsidR="009462C9" w14:paraId="1106182B" w14:textId="77777777" w:rsidTr="00AB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7C8CA72" w14:textId="64020CF8" w:rsidR="009462C9" w:rsidRPr="00CB06E3" w:rsidRDefault="009462C9" w:rsidP="00157171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7212" w:type="dxa"/>
          </w:tcPr>
          <w:p w14:paraId="5D0B2E8F" w14:textId="0F43CF60" w:rsidR="009462C9" w:rsidRPr="00B900A7" w:rsidRDefault="00C15954" w:rsidP="00C1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</w:rPr>
                      <m:t>k.f</m:t>
                    </m:r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/>
                  </w:rPr>
                  <m:t>=k.</m:t>
                </m:r>
                <m:nary>
                  <m:naryPr>
                    <m:chr m:val="∑"/>
                    <m:ctrlPr>
                      <w:rPr>
                        <w:rFonts w:asci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 w:rsidR="009462C9" w14:paraId="07FD47EC" w14:textId="77777777" w:rsidTr="00AB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D9D288" w14:textId="3777454E" w:rsidR="009462C9" w:rsidRPr="00E32D88" w:rsidRDefault="009462C9" w:rsidP="00157171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7212" w:type="dxa"/>
          </w:tcPr>
          <w:p w14:paraId="0C6E8BFE" w14:textId="4B9E28BD" w:rsidR="009462C9" w:rsidRPr="00AB425A" w:rsidRDefault="00B900A7" w:rsidP="00B9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/>
                  </w:rPr>
                  <m:t>=.</m:t>
                </m:r>
                <m:nary>
                  <m:naryPr>
                    <m:chr m:val="∑"/>
                    <m:ctrlPr>
                      <w:rPr>
                        <w:rFonts w:asci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</w:tbl>
    <w:p w14:paraId="13BA1AF3" w14:textId="77777777" w:rsidR="00F413B7" w:rsidRDefault="00F413B7" w:rsidP="009E3289">
      <w:pPr>
        <w:pStyle w:val="TableCaption"/>
      </w:pPr>
    </w:p>
    <w:p w14:paraId="787461C5" w14:textId="77777777" w:rsidR="00E87667" w:rsidRDefault="00E87667" w:rsidP="00E87667">
      <w:pPr>
        <w:pStyle w:val="Heading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Sum of first n integers</w:t>
      </w:r>
    </w:p>
    <w:p w14:paraId="6285E39D" w14:textId="74F76B40" w:rsidR="00C21E9A" w:rsidRDefault="00C21E9A" w:rsidP="00C21E9A"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num>
          <m:den>
            <m:r>
              <w:rPr>
                <w:rFonts w:ascii="Cambria Math"/>
              </w:rPr>
              <m:t>2</m:t>
            </m:r>
          </m:den>
        </m:f>
      </m:oMath>
      <w:r>
        <w:t xml:space="preserve"> </w:t>
      </w:r>
      <w:r>
        <w:t>Because</w:t>
      </w:r>
    </w:p>
    <w:p w14:paraId="4579E4E9" w14:textId="2DB43238" w:rsidR="00C21E9A" w:rsidRDefault="00C21E9A" w:rsidP="00C21E9A"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=1+2+3+4+,....,+n</m:t>
        </m:r>
      </m:oMath>
      <w:r>
        <w:t xml:space="preserve">  and</w:t>
      </w:r>
    </w:p>
    <w:p w14:paraId="704FA78B" w14:textId="0520BD68" w:rsidR="00C21E9A" w:rsidRDefault="00C21E9A" w:rsidP="00C21E9A"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=n+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r>
          <w:rPr>
            <w:rFonts w:ascii="Cambria Math"/>
          </w:rPr>
          <m:t>+,........+1</m:t>
        </m:r>
      </m:oMath>
      <w:r>
        <w:t xml:space="preserve"> therefore</w:t>
      </w:r>
    </w:p>
    <w:p w14:paraId="586A8838" w14:textId="4984A828" w:rsidR="00E87667" w:rsidRDefault="00C21E9A" w:rsidP="00C21E9A">
      <w:pPr>
        <w:rPr>
          <w:rFonts w:eastAsiaTheme="minorHAnsi"/>
          <w:lang w:eastAsia="en-US"/>
        </w:rPr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r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r</m:t>
            </m:r>
          </m:e>
        </m:nary>
        <m:r>
          <m:rPr>
            <m:sty m:val="p"/>
          </m:rPr>
          <w:rPr>
            <w:rFonts w:ascii="Cambria Math" w:hAnsi="Cambria Math"/>
          </w:rPr>
          <m:t>=2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r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+,........+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∴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r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E87667">
        <w:rPr>
          <w:rFonts w:eastAsiaTheme="minorHAnsi"/>
          <w:lang w:eastAsia="en-US"/>
        </w:rPr>
        <w:tab/>
      </w:r>
    </w:p>
    <w:p w14:paraId="0133EF23" w14:textId="412E563F" w:rsidR="004F0C20" w:rsidRDefault="004F0C20" w:rsidP="004F0C20">
      <w:pPr>
        <w:pStyle w:val="Heading2"/>
      </w:pPr>
      <w:r>
        <w:lastRenderedPageBreak/>
        <w:t>Sequences</w:t>
      </w:r>
    </w:p>
    <w:p w14:paraId="29AF88A7" w14:textId="79A7E350" w:rsidR="004F0C20" w:rsidRDefault="004F0C20" w:rsidP="004F0C20">
      <w:pPr>
        <w:pStyle w:val="Heading3"/>
      </w:pPr>
      <w:r>
        <w:t>Definition</w:t>
      </w:r>
    </w:p>
    <w:p w14:paraId="266D27C4" w14:textId="77777777" w:rsidR="00E07CA6" w:rsidRDefault="00E07CA6" w:rsidP="00E07CA6">
      <w:pPr>
        <w:pStyle w:val="ListBullet"/>
      </w:pPr>
      <w:r>
        <w:t xml:space="preserve">List of numbers in a definitive order  </w:t>
      </w:r>
      <w:r w:rsidRPr="0087117A">
        <w:rPr>
          <w:position w:val="-12"/>
        </w:rPr>
        <w:object w:dxaOrig="1460" w:dyaOrig="360" w14:anchorId="094CC9AA">
          <v:shape id="_x0000_i1047" type="#_x0000_t75" style="width:73pt;height:18.45pt" o:ole="">
            <v:imagedata r:id="rId10" o:title=""/>
          </v:shape>
          <o:OLEObject Type="Embed" ProgID="Equation.3" ShapeID="_x0000_i1047" DrawAspect="Content" ObjectID="_1627666359" r:id="rId11"/>
        </w:object>
      </w:r>
    </w:p>
    <w:p w14:paraId="449B568E" w14:textId="77777777" w:rsidR="00E07CA6" w:rsidRDefault="00E07CA6" w:rsidP="00E07CA6">
      <w:pPr>
        <w:pStyle w:val="ListBullet"/>
      </w:pPr>
      <w:r>
        <w:t xml:space="preserve">If </w:t>
      </w:r>
      <w:r w:rsidRPr="0087117A">
        <w:rPr>
          <w:position w:val="-12"/>
        </w:rPr>
        <w:object w:dxaOrig="460" w:dyaOrig="360" w14:anchorId="61E12E30">
          <v:shape id="_x0000_i1048" type="#_x0000_t75" style="width:22.5pt;height:18.45pt" o:ole="">
            <v:imagedata r:id="rId12" o:title=""/>
          </v:shape>
          <o:OLEObject Type="Embed" ProgID="Equation.3" ShapeID="_x0000_i1048" DrawAspect="Content" ObjectID="_1627666360" r:id="rId13"/>
        </w:object>
      </w:r>
      <w:r>
        <w:t xml:space="preserve">has a limit L we can make </w:t>
      </w:r>
      <w:r w:rsidRPr="0087117A">
        <w:rPr>
          <w:position w:val="-12"/>
        </w:rPr>
        <w:object w:dxaOrig="460" w:dyaOrig="360" w14:anchorId="16B5C075">
          <v:shape id="_x0000_i1049" type="#_x0000_t75" style="width:22.5pt;height:18.45pt" o:ole="">
            <v:imagedata r:id="rId12" o:title=""/>
          </v:shape>
          <o:OLEObject Type="Embed" ProgID="Equation.3" ShapeID="_x0000_i1049" DrawAspect="Content" ObjectID="_1627666361" r:id="rId14"/>
        </w:object>
      </w:r>
      <w:r>
        <w:t>as close to L as we like by increasing n</w:t>
      </w:r>
    </w:p>
    <w:p w14:paraId="165462F3" w14:textId="77777777" w:rsidR="00E07CA6" w:rsidRDefault="00E07CA6" w:rsidP="00E07CA6">
      <w:pPr>
        <w:pStyle w:val="ListBullet"/>
      </w:pPr>
      <w:r w:rsidRPr="0087117A">
        <w:rPr>
          <w:position w:val="-12"/>
        </w:rPr>
        <w:object w:dxaOrig="460" w:dyaOrig="360" w14:anchorId="55A4F3E3">
          <v:shape id="_x0000_i1050" type="#_x0000_t75" style="width:22.5pt;height:18.45pt" o:ole="">
            <v:imagedata r:id="rId12" o:title=""/>
          </v:shape>
          <o:OLEObject Type="Embed" ProgID="Equation.3" ShapeID="_x0000_i1050" DrawAspect="Content" ObjectID="_1627666362" r:id="rId15"/>
        </w:object>
      </w:r>
      <w:r>
        <w:t xml:space="preserve">is bounded above if there is some M such that </w:t>
      </w:r>
      <w:r w:rsidRPr="0087117A">
        <w:rPr>
          <w:position w:val="-12"/>
        </w:rPr>
        <w:object w:dxaOrig="800" w:dyaOrig="360" w14:anchorId="342D2BD3">
          <v:shape id="_x0000_i1051" type="#_x0000_t75" style="width:40.25pt;height:18.45pt" o:ole="">
            <v:imagedata r:id="rId16" o:title=""/>
          </v:shape>
          <o:OLEObject Type="Embed" ProgID="Equation.3" ShapeID="_x0000_i1051" DrawAspect="Content" ObjectID="_1627666363" r:id="rId17"/>
        </w:object>
      </w:r>
    </w:p>
    <w:p w14:paraId="3E64C431" w14:textId="77777777" w:rsidR="00E07CA6" w:rsidRDefault="00E07CA6" w:rsidP="00E07CA6">
      <w:pPr>
        <w:pStyle w:val="ListBullet"/>
      </w:pPr>
      <w:r w:rsidRPr="0087117A">
        <w:rPr>
          <w:position w:val="-12"/>
        </w:rPr>
        <w:object w:dxaOrig="460" w:dyaOrig="360" w14:anchorId="43F707C2">
          <v:shape id="_x0000_i1052" type="#_x0000_t75" style="width:22.5pt;height:18.45pt" o:ole="">
            <v:imagedata r:id="rId12" o:title=""/>
          </v:shape>
          <o:OLEObject Type="Embed" ProgID="Equation.3" ShapeID="_x0000_i1052" DrawAspect="Content" ObjectID="_1627666364" r:id="rId18"/>
        </w:object>
      </w:r>
      <w:r>
        <w:t xml:space="preserve">is bounded below if there is some M such that </w:t>
      </w:r>
      <w:r w:rsidRPr="0087117A">
        <w:rPr>
          <w:position w:val="-12"/>
        </w:rPr>
        <w:object w:dxaOrig="820" w:dyaOrig="360" w14:anchorId="76F1699A">
          <v:shape id="_x0000_i1053" type="#_x0000_t75" style="width:40.95pt;height:18.45pt" o:ole="">
            <v:imagedata r:id="rId19" o:title=""/>
          </v:shape>
          <o:OLEObject Type="Embed" ProgID="Equation.3" ShapeID="_x0000_i1053" DrawAspect="Content" ObjectID="_1627666365" r:id="rId20"/>
        </w:object>
      </w:r>
    </w:p>
    <w:p w14:paraId="3AC76351" w14:textId="77777777" w:rsidR="00E07CA6" w:rsidRDefault="00E07CA6" w:rsidP="00E07CA6">
      <w:pPr>
        <w:pStyle w:val="ListBullet"/>
      </w:pPr>
      <w:r>
        <w:t>Every bounded monotonic sequence is convergent</w:t>
      </w:r>
    </w:p>
    <w:p w14:paraId="38C86B93" w14:textId="304F303A" w:rsidR="004F0C20" w:rsidRPr="004F0C20" w:rsidRDefault="00D61554" w:rsidP="004F0C20">
      <w:r>
        <w:rPr>
          <w:noProof/>
        </w:rPr>
        <w:drawing>
          <wp:inline distT="0" distB="0" distL="0" distR="0" wp14:anchorId="68F9F117" wp14:editId="57A2FF42">
            <wp:extent cx="4040505" cy="2849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9171" w14:textId="75EEC8D7" w:rsidR="00D61554" w:rsidRDefault="00D61554" w:rsidP="00D61554">
      <w:pPr>
        <w:pStyle w:val="Heading3"/>
      </w:pPr>
      <w:r>
        <w:t>Notation</w:t>
      </w:r>
    </w:p>
    <w:p w14:paraId="2AC8D6D3" w14:textId="5A969FA4" w:rsidR="00041B5E" w:rsidRDefault="00041B5E" w:rsidP="00041B5E">
      <w:r>
        <w:t>The following notations are equivalent</w:t>
      </w:r>
    </w:p>
    <w:p w14:paraId="75E61718" w14:textId="774215F3" w:rsidR="00041B5E" w:rsidRDefault="00041B5E" w:rsidP="00041B5E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,....,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r>
              <w:rPr>
                <w:rFonts w:ascii="Cambria Math"/>
              </w:rPr>
              <m:t>,...</m:t>
            </m:r>
          </m:e>
        </m:d>
      </m:oMath>
    </w:p>
    <w:p w14:paraId="1710E7A3" w14:textId="2DE62B3A" w:rsidR="00041B5E" w:rsidRDefault="00041B5E" w:rsidP="00041B5E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14:paraId="7E930BB0" w14:textId="08777961" w:rsidR="00041B5E" w:rsidRDefault="00041B5E" w:rsidP="00041B5E">
      <w:pPr>
        <w:pStyle w:val="ListBullet"/>
      </w:pP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</m:sSubSup>
      </m:oMath>
    </w:p>
    <w:p w14:paraId="74F967FE" w14:textId="4A07582D" w:rsidR="00041B5E" w:rsidRDefault="00041B5E" w:rsidP="00041B5E">
      <w:r>
        <w:t>Some sequences can be defined by a formula for the nth term.</w:t>
      </w:r>
    </w:p>
    <w:p w14:paraId="1F177DCD" w14:textId="6C50BCF4" w:rsidR="00041B5E" w:rsidRDefault="00041B5E" w:rsidP="00041B5E">
      <w:pPr>
        <w:pStyle w:val="ListBullet"/>
      </w:pP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n+1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</m:sSubSup>
      </m:oMath>
    </w:p>
    <w:p w14:paraId="6341E522" w14:textId="2C620604" w:rsidR="00041B5E" w:rsidRDefault="00041B5E" w:rsidP="00041B5E">
      <w:pPr>
        <w:pStyle w:val="ListBullet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n</m:t>
            </m:r>
          </m:num>
          <m:den>
            <m:r>
              <w:rPr>
                <w:rFonts w:ascii="Cambria Math"/>
              </w:rPr>
              <m:t>n+1</m:t>
            </m:r>
          </m:den>
        </m:f>
      </m:oMath>
    </w:p>
    <w:p w14:paraId="72002403" w14:textId="0D8FE389" w:rsidR="00041B5E" w:rsidRDefault="00041B5E" w:rsidP="00041B5E">
      <w:pPr>
        <w:pStyle w:val="ListBullet"/>
      </w:pP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</w:rPr>
                      <m:t>3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r>
                  <w:rPr>
                    <w:rFonts w:ascii="Cambria Math"/>
                  </w:rPr>
                  <m:t>,......,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n+1</m:t>
                    </m:r>
                  </m:den>
                </m:f>
                <m:r>
                  <w:rPr>
                    <w:rFonts w:ascii="Cambria Math"/>
                  </w:rPr>
                  <m:t>,....</m:t>
                </m:r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</m:sSubSup>
      </m:oMath>
    </w:p>
    <w:p w14:paraId="649BD6A4" w14:textId="77777777" w:rsidR="00D61554" w:rsidRPr="00D61554" w:rsidRDefault="00D61554" w:rsidP="00D61554"/>
    <w:p w14:paraId="644B4D14" w14:textId="4EC993F7" w:rsidR="00CE4E45" w:rsidRDefault="00141282" w:rsidP="00141282">
      <w:pPr>
        <w:pStyle w:val="Heading2"/>
      </w:pPr>
      <w:r>
        <w:lastRenderedPageBreak/>
        <w:t>Series</w:t>
      </w:r>
    </w:p>
    <w:p w14:paraId="263E5714" w14:textId="3C559B3C" w:rsidR="00141282" w:rsidRDefault="00141282" w:rsidP="00141282">
      <w:pPr>
        <w:pStyle w:val="Heading3"/>
      </w:pPr>
      <w:r>
        <w:t>Definition</w:t>
      </w:r>
    </w:p>
    <w:p w14:paraId="0E28692F" w14:textId="77777777" w:rsidR="00157171" w:rsidRDefault="00157171" w:rsidP="00157171">
      <w:pPr>
        <w:pStyle w:val="ListBullet"/>
      </w:pPr>
      <w:r>
        <w:t>Obtained by adding the terms of an infinite sequence</w:t>
      </w:r>
    </w:p>
    <w:p w14:paraId="3F57DA42" w14:textId="6B8A2A3C" w:rsidR="00157171" w:rsidRDefault="00157171" w:rsidP="00157171">
      <w:pPr>
        <w:pStyle w:val="ListBullet"/>
      </w:pP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/>
          </w:rPr>
          <m:t>=s</m:t>
        </m:r>
      </m:oMath>
    </w:p>
    <w:p w14:paraId="285CF9EF" w14:textId="4D0BAA80" w:rsidR="00157171" w:rsidRDefault="00157171" w:rsidP="00157171">
      <w:pPr>
        <w:pStyle w:val="ListBullet"/>
      </w:pPr>
      <w:r>
        <w:t xml:space="preserve">Given a series </w:t>
      </w: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/>
          </w:rPr>
          <m:t>=s</m:t>
        </m:r>
      </m:oMath>
      <w:r>
        <w:t>we can generate a sequence of its partial sums</w:t>
      </w:r>
    </w:p>
    <w:p w14:paraId="11ED0524" w14:textId="4DE0D2DE" w:rsidR="00157171" w:rsidRDefault="00157171" w:rsidP="00157171">
      <w:pPr>
        <w:pStyle w:val="ListBullet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</w:p>
    <w:p w14:paraId="4CEAFC36" w14:textId="5AFA49C2" w:rsidR="00157171" w:rsidRDefault="00157171" w:rsidP="00157171">
      <w:pPr>
        <w:pStyle w:val="ListBullet"/>
      </w:pPr>
      <w:r>
        <w:t xml:space="preserve">If the resulting sequence 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is convergent we say the series is convergent</w:t>
      </w:r>
    </w:p>
    <w:p w14:paraId="6DDA7E0E" w14:textId="4B59DD75" w:rsidR="00157171" w:rsidRDefault="00157171" w:rsidP="00157171">
      <w:pPr>
        <w:pStyle w:val="ListBullet"/>
      </w:pPr>
      <w:r>
        <w:t xml:space="preserve">With any series </w:t>
      </w: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we associate two sequences </w:t>
      </w:r>
    </w:p>
    <w:p w14:paraId="7222C223" w14:textId="5C50CD61" w:rsidR="00157171" w:rsidRDefault="00157171" w:rsidP="00157171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the terms</w:t>
      </w:r>
    </w:p>
    <w:p w14:paraId="3A7EBE03" w14:textId="248D9A47" w:rsidR="00157171" w:rsidRDefault="00157171" w:rsidP="00157171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the partial sums</w:t>
      </w:r>
    </w:p>
    <w:p w14:paraId="2B4C5853" w14:textId="1F77B501" w:rsidR="00157171" w:rsidRDefault="00157171" w:rsidP="00157171">
      <w:pPr>
        <w:pStyle w:val="ListBullet"/>
      </w:pPr>
      <w:r>
        <w:t xml:space="preserve">If </w:t>
      </w: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is convergent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=0</m:t>
        </m:r>
      </m:oMath>
    </w:p>
    <w:p w14:paraId="2AE53CD3" w14:textId="5C81DAF6" w:rsidR="00157171" w:rsidRDefault="00157171" w:rsidP="00157171">
      <w:pPr>
        <w:pStyle w:val="ListBullet"/>
      </w:pPr>
      <w:r>
        <w:t xml:space="preserve">If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>
        <w:t xml:space="preserve"> does not exist </w:t>
      </w: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>is divergent</w:t>
      </w:r>
    </w:p>
    <w:p w14:paraId="375B27DF" w14:textId="6845DD83" w:rsidR="00157171" w:rsidRDefault="00157171" w:rsidP="00157171">
      <w:pPr>
        <w:pStyle w:val="ListBullet"/>
      </w:pP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≠</m:t>
        </m:r>
        <m:r>
          <w:rPr>
            <w:rFonts w:ascii="Cambria Math"/>
          </w:rPr>
          <m:t>0</m:t>
        </m:r>
      </m:oMath>
      <w:r>
        <w:t>then</w:t>
      </w: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>is divergent</w:t>
      </w:r>
    </w:p>
    <w:p w14:paraId="71B3BD8C" w14:textId="719FEC77" w:rsidR="00F24F72" w:rsidRDefault="00F24F72" w:rsidP="00F24F72">
      <w:pPr>
        <w:pStyle w:val="Heading3"/>
      </w:pPr>
      <w:r>
        <w:t>Geometric Series</w:t>
      </w:r>
    </w:p>
    <w:p w14:paraId="536BE392" w14:textId="6AF70391" w:rsidR="0038480E" w:rsidRDefault="0038480E" w:rsidP="0038480E">
      <w:r>
        <w:t xml:space="preserve">A geometric series is a series where the ratio of each term to its predecessor is constant. </w:t>
      </w:r>
    </w:p>
    <w:p w14:paraId="6D063D91" w14:textId="7CFFC637" w:rsidR="0038480E" w:rsidRDefault="0038480E" w:rsidP="0038480E">
      <m:oMathPara>
        <m:oMath>
          <m:r>
            <w:rPr>
              <w:rFonts w:ascii="Cambria Math"/>
            </w:rPr>
            <m:t>S=</m:t>
          </m:r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k=0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=a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a+ar+a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1F3F8A77" w14:textId="2DAC0D19" w:rsidR="0038480E" w:rsidRDefault="0038480E" w:rsidP="0038480E">
      <w:pPr>
        <w:pStyle w:val="Heading4"/>
      </w:pPr>
      <w:r>
        <w:t>Value of A Geometric Series</w:t>
      </w:r>
    </w:p>
    <w:p w14:paraId="48593BF3" w14:textId="7915BDFC" w:rsidR="00D24F99" w:rsidRDefault="00D24F99" w:rsidP="00D24F99"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05F8F8E" w14:textId="2B0DEC90" w:rsidR="00D24F99" w:rsidRDefault="00D24F99" w:rsidP="00D24F99">
      <w:r>
        <w:t>We prove this useful result by noting that</w:t>
      </w:r>
    </w:p>
    <w:p w14:paraId="6D12FAA6" w14:textId="733463A4" w:rsidR="00D24F99" w:rsidRDefault="00D24F99" w:rsidP="00D24F99">
      <m:oMathPara>
        <m:oMath>
          <m:r>
            <w:rPr>
              <w:rFonts w:ascii="Cambria Math"/>
            </w:rPr>
            <m:t>S=a+ar+a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3F98D374" w14:textId="18EE6CD1" w:rsidR="00D24F99" w:rsidRDefault="00D24F99" w:rsidP="00D24F99">
      <m:oMathPara>
        <m:oMath>
          <m:r>
            <w:rPr>
              <w:rFonts w:ascii="Cambria Math"/>
            </w:rPr>
            <m:t>Sr=ar+a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+a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</m:oMath>
      </m:oMathPara>
    </w:p>
    <w:p w14:paraId="22EDDAC3" w14:textId="72AE78A2" w:rsidR="00D24F99" w:rsidRDefault="00D24F99" w:rsidP="00D24F99">
      <w:r>
        <w:t>Subtracting the second expression from the first we get</w:t>
      </w:r>
    </w:p>
    <w:p w14:paraId="60A8E89A" w14:textId="09D7ADFA" w:rsidR="00D24F99" w:rsidRDefault="00D24F99" w:rsidP="00D24F99">
      <m:oMathPara>
        <m:oMath>
          <m:r>
            <w:rPr>
              <w:rFonts w:ascii="Cambria Math"/>
            </w:rPr>
            <m:t>S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Sr=a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a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</m:oMath>
      </m:oMathPara>
    </w:p>
    <w:p w14:paraId="7FE6E82D" w14:textId="7F9E72BB" w:rsidR="00D24F99" w:rsidRDefault="00D24F99" w:rsidP="00D24F99">
      <w:r>
        <w:t>Factoring both sides</w:t>
      </w:r>
    </w:p>
    <w:p w14:paraId="5865F398" w14:textId="3CE302B0" w:rsidR="00D24F99" w:rsidRDefault="00D24F99" w:rsidP="00D24F99">
      <m:oMathPara>
        <m:oMath>
          <m:r>
            <w:rPr>
              <w:rFonts w:ascii="Cambria Math"/>
            </w:rPr>
            <m:t>S(1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r)=a(1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  <m:r>
            <w:rPr>
              <w:rFonts w:ascii="Cambria Math"/>
            </w:rPr>
            <m:t>)</m:t>
          </m:r>
        </m:oMath>
      </m:oMathPara>
    </w:p>
    <w:p w14:paraId="5A3EE1C3" w14:textId="77777777" w:rsidR="00D24F99" w:rsidRDefault="00D24F99" w:rsidP="00D24F99"/>
    <w:p w14:paraId="61A214D5" w14:textId="72A6C540" w:rsidR="00D24F99" w:rsidRDefault="00D24F99" w:rsidP="00D24F99">
      <w:r>
        <w:lastRenderedPageBreak/>
        <w:t xml:space="preserve">Dividing both sides by </w:t>
      </w:r>
      <m:oMath>
        <m:r>
          <w:rPr>
            <w:rFonts w:ascii="Cambria Math"/>
          </w:rPr>
          <m:t>(1</m:t>
        </m:r>
        <m:r>
          <w:rPr>
            <w:rFonts w:ascii="Cambria Math"/>
          </w:rPr>
          <m:t>-</m:t>
        </m:r>
        <m:r>
          <w:rPr>
            <w:rFonts w:ascii="Cambria Math"/>
          </w:rPr>
          <m:t>r)</m:t>
        </m:r>
      </m:oMath>
    </w:p>
    <w:p w14:paraId="22062ADD" w14:textId="17F85D24" w:rsidR="00D24F99" w:rsidRDefault="00D24F99" w:rsidP="00D24F99">
      <m:oMathPara>
        <m:oMath>
          <m:r>
            <w:rPr>
              <w:rFonts w:ascii="Cambria Math"/>
            </w:rPr>
            <m:t>S=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a(1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n+1</m:t>
                  </m:r>
                </m:sup>
              </m:sSup>
              <m: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r)</m:t>
              </m:r>
            </m:den>
          </m:f>
        </m:oMath>
      </m:oMathPara>
    </w:p>
    <w:p w14:paraId="3F6DCEF1" w14:textId="77777777" w:rsidR="00F550E8" w:rsidRDefault="00D24F99" w:rsidP="00D24F99">
      <w:pPr>
        <w:pStyle w:val="Heading4"/>
      </w:pPr>
      <w:r>
        <w:t>Infinite Geometri</w:t>
      </w:r>
      <w:r w:rsidR="007A1DA6">
        <w:t>c    Series</w:t>
      </w:r>
    </w:p>
    <w:p w14:paraId="088E0185" w14:textId="019F870A" w:rsidR="00F550E8" w:rsidRDefault="00F550E8" w:rsidP="00F550E8">
      <w:r>
        <w:t>If the first N elements in a geometric series are given by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N+1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  <w:r>
        <w:t xml:space="preserve"> then the first N-1 elements will be given by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  <w:r>
        <w:t xml:space="preserve">  and in the case where x is greater than -1 and less than one then in the limit as the number of elements tends to infinity we get</w:t>
      </w:r>
    </w:p>
    <w:p w14:paraId="19D452AE" w14:textId="59997777" w:rsidR="00F550E8" w:rsidRDefault="00F550E8" w:rsidP="00F550E8">
      <w:r>
        <w:t xml:space="preserve">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</w:p>
    <w:p w14:paraId="0174AA2B" w14:textId="77777777" w:rsidR="00F550E8" w:rsidRPr="006A1423" w:rsidRDefault="00F550E8" w:rsidP="00F550E8">
      <w:r>
        <w:t>Since in the case where the absolute value of x is less than zero</w:t>
      </w:r>
      <w:r w:rsidRPr="0014471E">
        <w:rPr>
          <w:position w:val="-6"/>
        </w:rPr>
        <w:object w:dxaOrig="340" w:dyaOrig="320" w14:anchorId="4C3AC39A">
          <v:shape id="_x0000_i1181" type="#_x0000_t75" style="width:16.7pt;height:16.05pt" o:ole="">
            <v:imagedata r:id="rId22" o:title=""/>
          </v:shape>
          <o:OLEObject Type="Embed" ProgID="Equation.3" ShapeID="_x0000_i1181" DrawAspect="Content" ObjectID="_1627666366" r:id="rId23"/>
        </w:object>
      </w:r>
      <w:r>
        <w:t>will tend to zero as N tends to infinity the second term also tends to zero and we have an expression for an infinite geometric series.</w:t>
      </w:r>
    </w:p>
    <w:p w14:paraId="04337567" w14:textId="20E52FEE" w:rsidR="00665927" w:rsidRDefault="00665927" w:rsidP="00665927">
      <w:pPr>
        <w:pStyle w:val="Heading2"/>
      </w:pPr>
      <w:r>
        <w:t>Power Series</w:t>
      </w:r>
    </w:p>
    <w:p w14:paraId="4D017F1C" w14:textId="7E7D9CA6" w:rsidR="005D387D" w:rsidRDefault="005D387D" w:rsidP="005D387D">
      <w:pPr>
        <w:pStyle w:val="ListBullet"/>
      </w:pP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n=0</m:t>
            </m:r>
          </m:sub>
          <m:sup>
            <m:r>
              <w:rPr>
                <w:rFonts w:asci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  <m:r>
              <w:rPr>
                <w:rFonts w:ascii="Cambria Math"/>
              </w:rPr>
              <m:t>=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x+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3</m:t>
            </m:r>
          </m:sub>
        </m:sSub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+....</m:t>
        </m:r>
      </m:oMath>
    </w:p>
    <w:p w14:paraId="4D7627F8" w14:textId="77777777" w:rsidR="005D387D" w:rsidRDefault="005D387D" w:rsidP="005D387D">
      <w:pPr>
        <w:pStyle w:val="ListBullet"/>
      </w:pPr>
      <w:r>
        <w:t>For each x the series is a series of constants which we can test for convergence</w:t>
      </w:r>
    </w:p>
    <w:p w14:paraId="48E823EB" w14:textId="221C1E0F" w:rsidR="005D387D" w:rsidRDefault="005D387D" w:rsidP="005D387D">
      <w:pPr>
        <w:pStyle w:val="ListBullet"/>
      </w:pPr>
      <w:r>
        <w:t xml:space="preserve">The sum of the series is a function </w:t>
      </w:r>
      <m:oMath>
        <m:r>
          <w:rPr>
            <w:rFonts w:ascii="Cambria Math"/>
          </w:rPr>
          <m:t>f(x)=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x+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2</m:t>
            </m:r>
          </m:sub>
        </m:sSub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3</m:t>
            </m:r>
          </m:sub>
        </m:sSub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</m:t>
        </m:r>
      </m:oMath>
    </w:p>
    <w:p w14:paraId="0CB6CB83" w14:textId="77777777" w:rsidR="005D387D" w:rsidRDefault="005D387D" w:rsidP="005D387D">
      <w:pPr>
        <w:pStyle w:val="ListBullet"/>
      </w:pPr>
      <w:r>
        <w:t>The domain of this function is the set of x for which the series converges</w:t>
      </w:r>
    </w:p>
    <w:p w14:paraId="136C7CA1" w14:textId="251B238E" w:rsidR="005D387D" w:rsidRDefault="005D387D" w:rsidP="005D387D">
      <w:pPr>
        <w:pStyle w:val="Heading2"/>
      </w:pPr>
      <w:r>
        <w:t>Taylor and Maclaurin Series</w:t>
      </w:r>
    </w:p>
    <w:p w14:paraId="06DE472E" w14:textId="5388FDE2" w:rsidR="007463D3" w:rsidRDefault="007463D3" w:rsidP="007463D3">
      <w:r>
        <w:t>We can approximate a function</w:t>
      </w:r>
      <w:r>
        <w:rPr>
          <w:position w:val="-10"/>
        </w:rPr>
        <w:object w:dxaOrig="540" w:dyaOrig="320" w14:anchorId="4C173C18">
          <v:shape id="_x0000_i1198" type="#_x0000_t75" style="width:26.95pt;height:16.05pt" o:ole="">
            <v:imagedata r:id="rId24" o:title=""/>
          </v:shape>
          <o:OLEObject Type="Embed" ProgID="Equation.3" ShapeID="_x0000_i1198" DrawAspect="Content" ObjectID="_1627666367" r:id="rId25"/>
        </w:object>
      </w:r>
      <w:r>
        <w:t>for small values around some anchor point a, as a power series.</w:t>
      </w:r>
    </w:p>
    <w:p w14:paraId="5339E885" w14:textId="347AB423" w:rsidR="007463D3" w:rsidRDefault="007463D3" w:rsidP="007463D3">
      <w:bookmarkStart w:id="0" w:name="_GoBack"/>
      <w:bookmarkEnd w:id="0"/>
      <m:oMathPara>
        <m:oMath>
          <m:r>
            <w:rPr>
              <w:rFonts w:ascii="Cambria Math"/>
            </w:rPr>
            <m:t>f(x)=P(x)=f(a)+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1!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2!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n!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6F9A1EB0" w14:textId="77777777" w:rsidR="007463D3" w:rsidRDefault="007463D3" w:rsidP="007463D3">
      <w:r>
        <w:t>For a given</w:t>
      </w:r>
      <w:r>
        <w:rPr>
          <w:position w:val="-10"/>
        </w:rPr>
        <w:object w:dxaOrig="540" w:dyaOrig="320" w14:anchorId="0CF04A56">
          <v:shape id="_x0000_i1200" type="#_x0000_t75" style="width:26.95pt;height:16.05pt" o:ole="">
            <v:imagedata r:id="rId26" o:title=""/>
          </v:shape>
          <o:OLEObject Type="Embed" ProgID="Equation.3" ShapeID="_x0000_i1200" DrawAspect="Content" ObjectID="_1627666368" r:id="rId27"/>
        </w:object>
      </w:r>
      <w:r>
        <w:t xml:space="preserve">the </w:t>
      </w:r>
      <w:smartTag w:uri="urn:schemas-microsoft-com:office:smarttags" w:element="place">
        <w:smartTag w:uri="urn:schemas-microsoft-com:office:smarttags" w:element="City">
          <w:r>
            <w:t>Taylor</w:t>
          </w:r>
        </w:smartTag>
      </w:smartTag>
      <w:r>
        <w:t xml:space="preserve"> series will only be valid for a given subset of the domain, known as the radius of convergence.</w:t>
      </w:r>
    </w:p>
    <w:p w14:paraId="1D2FCC70" w14:textId="77777777" w:rsidR="005D387D" w:rsidRPr="005D387D" w:rsidRDefault="005D387D" w:rsidP="005D387D"/>
    <w:p w14:paraId="61A720F2" w14:textId="73E06FF1" w:rsidR="00D24F99" w:rsidRDefault="00D24F99" w:rsidP="00665927">
      <w:pPr>
        <w:pStyle w:val="Heading2"/>
      </w:pPr>
      <w:r>
        <w:br w:type="page"/>
      </w:r>
      <w:r>
        <w:lastRenderedPageBreak/>
        <w:t>Value of an infinite geometric Series having r &lt; 1</w:t>
      </w:r>
    </w:p>
    <w:p w14:paraId="63A7DAC0" w14:textId="77777777" w:rsidR="00D24F99" w:rsidRDefault="00D24F99" w:rsidP="00D24F99">
      <w:r w:rsidRPr="0013624A">
        <w:rPr>
          <w:position w:val="-24"/>
        </w:rPr>
        <w:object w:dxaOrig="1660" w:dyaOrig="620" w14:anchorId="41FF7911">
          <v:shape id="_x0000_i1156" type="#_x0000_t75" style="width:82.9pt;height:31.05pt" o:ole="">
            <v:imagedata r:id="rId28" o:title=""/>
          </v:shape>
          <o:OLEObject Type="Embed" ProgID="Equation.3" ShapeID="_x0000_i1156" DrawAspect="Content" ObjectID="_1627666369" r:id="rId29"/>
        </w:object>
      </w:r>
    </w:p>
    <w:p w14:paraId="397FD4BD" w14:textId="77777777" w:rsidR="00D24F99" w:rsidRDefault="00D24F99" w:rsidP="00D24F99"/>
    <w:p w14:paraId="78111A18" w14:textId="77777777" w:rsidR="00D24F99" w:rsidRDefault="00D24F99" w:rsidP="00D24F99">
      <w:r>
        <w:t>We prove this useful result by looking at the limit</w:t>
      </w:r>
    </w:p>
    <w:p w14:paraId="4322F6D7" w14:textId="77777777" w:rsidR="00D24F99" w:rsidRDefault="00D24F99" w:rsidP="00D24F99"/>
    <w:p w14:paraId="2F647424" w14:textId="77777777" w:rsidR="00D24F99" w:rsidRDefault="00D24F99" w:rsidP="00D24F99">
      <w:r w:rsidRPr="0013624A">
        <w:rPr>
          <w:position w:val="-24"/>
        </w:rPr>
        <w:object w:dxaOrig="2900" w:dyaOrig="660" w14:anchorId="00D44E5B">
          <v:shape id="_x0000_i1157" type="#_x0000_t75" style="width:145pt;height:32.75pt" o:ole="">
            <v:imagedata r:id="rId30" o:title=""/>
          </v:shape>
          <o:OLEObject Type="Embed" ProgID="Equation.3" ShapeID="_x0000_i1157" DrawAspect="Content" ObjectID="_1627666370" r:id="rId31"/>
        </w:object>
      </w:r>
    </w:p>
    <w:p w14:paraId="3BC86158" w14:textId="77777777" w:rsidR="00D24F99" w:rsidRDefault="00D24F99" w:rsidP="00D24F99"/>
    <w:p w14:paraId="114B45C3" w14:textId="77777777" w:rsidR="00D24F99" w:rsidRDefault="00D24F99" w:rsidP="00D24F99">
      <w:r>
        <w:t xml:space="preserve">And noting that the numerator </w:t>
      </w:r>
      <w:r w:rsidRPr="0077712A">
        <w:rPr>
          <w:position w:val="-10"/>
        </w:rPr>
        <w:object w:dxaOrig="960" w:dyaOrig="360" w14:anchorId="6BCEAFFB">
          <v:shape id="_x0000_i1158" type="#_x0000_t75" style="width:47.75pt;height:18.45pt" o:ole="">
            <v:imagedata r:id="rId32" o:title=""/>
          </v:shape>
          <o:OLEObject Type="Embed" ProgID="Equation.3" ShapeID="_x0000_i1158" DrawAspect="Content" ObjectID="_1627666371" r:id="rId33"/>
        </w:object>
      </w:r>
      <w:r>
        <w:t>will tend to a as n tends to infinity</w:t>
      </w:r>
    </w:p>
    <w:p w14:paraId="0FC006AF" w14:textId="77777777" w:rsidR="00D24F99" w:rsidRDefault="00D24F99" w:rsidP="00D24F99">
      <w:pPr>
        <w:pStyle w:val="Heading3"/>
      </w:pPr>
    </w:p>
    <w:p w14:paraId="54CD2DEE" w14:textId="77777777" w:rsidR="00D24F99" w:rsidRDefault="00D24F99" w:rsidP="00D24F99">
      <w:pPr>
        <w:pStyle w:val="Heading3"/>
      </w:pPr>
      <w:r>
        <w:t>Value of an infinite geometric Series having r &lt; 1 (2)</w:t>
      </w:r>
    </w:p>
    <w:p w14:paraId="5E67F2CE" w14:textId="77777777" w:rsidR="00D24F99" w:rsidRPr="0089353C" w:rsidRDefault="00D24F99" w:rsidP="00D24F99">
      <w:r w:rsidRPr="0089353C">
        <w:rPr>
          <w:position w:val="-30"/>
        </w:rPr>
        <w:object w:dxaOrig="2040" w:dyaOrig="680" w14:anchorId="73420F7E">
          <v:shape id="_x0000_i1159" type="#_x0000_t75" style="width:102.05pt;height:34.45pt" o:ole="">
            <v:imagedata r:id="rId34" o:title=""/>
          </v:shape>
          <o:OLEObject Type="Embed" ProgID="Equation.3" ShapeID="_x0000_i1159" DrawAspect="Content" ObjectID="_1627666372" r:id="rId35"/>
        </w:object>
      </w:r>
    </w:p>
    <w:p w14:paraId="3C7F5046" w14:textId="77777777" w:rsidR="0038480E" w:rsidRPr="0038480E" w:rsidRDefault="0038480E" w:rsidP="0038480E"/>
    <w:p w14:paraId="3F1558D9" w14:textId="77777777" w:rsidR="00157171" w:rsidRDefault="00157171" w:rsidP="00157171">
      <w:pPr>
        <w:rPr>
          <w:rFonts w:ascii="Arial" w:hAnsi="Arial" w:cs="Arial"/>
          <w:b/>
          <w:bCs/>
          <w:color w:val="003366"/>
          <w:kern w:val="32"/>
          <w:sz w:val="48"/>
          <w:szCs w:val="32"/>
        </w:rPr>
      </w:pPr>
      <w:r>
        <w:br w:type="page"/>
      </w:r>
    </w:p>
    <w:p w14:paraId="31169818" w14:textId="77777777" w:rsidR="00141282" w:rsidRPr="00141282" w:rsidRDefault="00141282" w:rsidP="00141282"/>
    <w:sectPr w:rsidR="00141282" w:rsidRPr="0014128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81129" w14:textId="77777777" w:rsidR="00BD10E7" w:rsidRDefault="00BD10E7" w:rsidP="00DC0620">
      <w:r>
        <w:separator/>
      </w:r>
    </w:p>
  </w:endnote>
  <w:endnote w:type="continuationSeparator" w:id="0">
    <w:p w14:paraId="740F03AD" w14:textId="77777777" w:rsidR="00BD10E7" w:rsidRDefault="00BD10E7" w:rsidP="00DC0620">
      <w:r>
        <w:continuationSeparator/>
      </w:r>
    </w:p>
  </w:endnote>
  <w:endnote w:type="continuationNotice" w:id="1">
    <w:p w14:paraId="2DEEC019" w14:textId="77777777" w:rsidR="00BD10E7" w:rsidRDefault="00BD10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17B20" w14:textId="77777777" w:rsidR="00B47336" w:rsidRDefault="00B47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4665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716A59" w14:textId="096471EC" w:rsidR="00B47336" w:rsidRDefault="00B47336" w:rsidP="00B473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638325" w14:textId="77777777" w:rsidR="00B47336" w:rsidRDefault="00B47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1BA" w14:textId="77777777"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A5630" w14:textId="77777777" w:rsidR="00BD10E7" w:rsidRDefault="00BD10E7" w:rsidP="00DC0620">
      <w:r>
        <w:separator/>
      </w:r>
    </w:p>
  </w:footnote>
  <w:footnote w:type="continuationSeparator" w:id="0">
    <w:p w14:paraId="3E7FA02C" w14:textId="77777777" w:rsidR="00BD10E7" w:rsidRDefault="00BD10E7" w:rsidP="00DC0620">
      <w:r>
        <w:continuationSeparator/>
      </w:r>
    </w:p>
  </w:footnote>
  <w:footnote w:type="continuationNotice" w:id="1">
    <w:p w14:paraId="7EB344B1" w14:textId="77777777" w:rsidR="00BD10E7" w:rsidRDefault="00BD10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AC39" w14:textId="77777777" w:rsidR="00B47336" w:rsidRDefault="00B47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5A2B" w14:textId="77777777" w:rsidR="00B47336" w:rsidRDefault="00B4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244" w14:textId="77777777" w:rsidR="00B47336" w:rsidRDefault="00B47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EA5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D1147D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1B8AD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13F03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37A29B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6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7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77067D"/>
    <w:multiLevelType w:val="hybridMultilevel"/>
    <w:tmpl w:val="350C8A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6"/>
  </w:num>
  <w:num w:numId="5">
    <w:abstractNumId w:val="5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2"/>
  </w:num>
  <w:num w:numId="9">
    <w:abstractNumId w:val="16"/>
  </w:num>
  <w:num w:numId="10">
    <w:abstractNumId w:val="10"/>
  </w:num>
  <w:num w:numId="11">
    <w:abstractNumId w:val="1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DC2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9FE"/>
    <w:rsid w:val="00016F32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1B5E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301E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C6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282"/>
    <w:rsid w:val="00141377"/>
    <w:rsid w:val="001417EC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628E"/>
    <w:rsid w:val="00156553"/>
    <w:rsid w:val="00157171"/>
    <w:rsid w:val="001579A8"/>
    <w:rsid w:val="00157C92"/>
    <w:rsid w:val="00160604"/>
    <w:rsid w:val="00161B98"/>
    <w:rsid w:val="00162B72"/>
    <w:rsid w:val="00163689"/>
    <w:rsid w:val="00163A23"/>
    <w:rsid w:val="0016464D"/>
    <w:rsid w:val="0016478C"/>
    <w:rsid w:val="00165048"/>
    <w:rsid w:val="0016783B"/>
    <w:rsid w:val="0017010C"/>
    <w:rsid w:val="001709EC"/>
    <w:rsid w:val="00171510"/>
    <w:rsid w:val="001715C7"/>
    <w:rsid w:val="001716D1"/>
    <w:rsid w:val="00172A3D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2D63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04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4EA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7A7"/>
    <w:rsid w:val="00271AF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A60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2968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581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983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2B60"/>
    <w:rsid w:val="003837CD"/>
    <w:rsid w:val="00383881"/>
    <w:rsid w:val="00384012"/>
    <w:rsid w:val="0038480E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91B"/>
    <w:rsid w:val="003D3D9C"/>
    <w:rsid w:val="003D3DB9"/>
    <w:rsid w:val="003D535E"/>
    <w:rsid w:val="003D5D44"/>
    <w:rsid w:val="003E0B66"/>
    <w:rsid w:val="003E0D10"/>
    <w:rsid w:val="003E0E02"/>
    <w:rsid w:val="003E1E62"/>
    <w:rsid w:val="003E2AD0"/>
    <w:rsid w:val="003E2B00"/>
    <w:rsid w:val="003E4CAC"/>
    <w:rsid w:val="003E52DD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0C54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45E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65AB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0C20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7D"/>
    <w:rsid w:val="005D38AF"/>
    <w:rsid w:val="005D49E7"/>
    <w:rsid w:val="005D6958"/>
    <w:rsid w:val="005D7796"/>
    <w:rsid w:val="005E05A4"/>
    <w:rsid w:val="005E1AE5"/>
    <w:rsid w:val="005E2A5E"/>
    <w:rsid w:val="005E34EE"/>
    <w:rsid w:val="005E3FB4"/>
    <w:rsid w:val="005E4473"/>
    <w:rsid w:val="005E5B92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BB1"/>
    <w:rsid w:val="00617373"/>
    <w:rsid w:val="0062006A"/>
    <w:rsid w:val="00621051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520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927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BE2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4D6"/>
    <w:rsid w:val="006B1FCC"/>
    <w:rsid w:val="006B2258"/>
    <w:rsid w:val="006B2340"/>
    <w:rsid w:val="006B2C0C"/>
    <w:rsid w:val="006B2CB0"/>
    <w:rsid w:val="006B327A"/>
    <w:rsid w:val="006B3288"/>
    <w:rsid w:val="006B5E4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63D3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C06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5FD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2FC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1DA6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8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3F1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3F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105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8B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1FC7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6E13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E04C7"/>
    <w:rsid w:val="008E0D1C"/>
    <w:rsid w:val="008E2D57"/>
    <w:rsid w:val="008E32D5"/>
    <w:rsid w:val="008E4412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AC0"/>
    <w:rsid w:val="00910D39"/>
    <w:rsid w:val="009122C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582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F56"/>
    <w:rsid w:val="009449B6"/>
    <w:rsid w:val="00944B06"/>
    <w:rsid w:val="009451AB"/>
    <w:rsid w:val="009462C9"/>
    <w:rsid w:val="0095097B"/>
    <w:rsid w:val="0095196F"/>
    <w:rsid w:val="009519FF"/>
    <w:rsid w:val="00951A41"/>
    <w:rsid w:val="00951F19"/>
    <w:rsid w:val="009526AD"/>
    <w:rsid w:val="009539E9"/>
    <w:rsid w:val="00953D52"/>
    <w:rsid w:val="00953D73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4C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80"/>
    <w:rsid w:val="009D00BE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289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5F37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0E5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016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8B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AC0"/>
    <w:rsid w:val="00A664D7"/>
    <w:rsid w:val="00A67FDF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3918"/>
    <w:rsid w:val="00AB425A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02D1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33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0A7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55"/>
    <w:rsid w:val="00BB6AD1"/>
    <w:rsid w:val="00BB762B"/>
    <w:rsid w:val="00BB784B"/>
    <w:rsid w:val="00BB7A80"/>
    <w:rsid w:val="00BC1117"/>
    <w:rsid w:val="00BC177C"/>
    <w:rsid w:val="00BC17F5"/>
    <w:rsid w:val="00BC19C8"/>
    <w:rsid w:val="00BC2D3D"/>
    <w:rsid w:val="00BC4430"/>
    <w:rsid w:val="00BC51EB"/>
    <w:rsid w:val="00BC5D3B"/>
    <w:rsid w:val="00BC62C6"/>
    <w:rsid w:val="00BC6DE2"/>
    <w:rsid w:val="00BC7324"/>
    <w:rsid w:val="00BD05E8"/>
    <w:rsid w:val="00BD10E7"/>
    <w:rsid w:val="00BD230C"/>
    <w:rsid w:val="00BD277D"/>
    <w:rsid w:val="00BD285E"/>
    <w:rsid w:val="00BD3CFB"/>
    <w:rsid w:val="00BD3F97"/>
    <w:rsid w:val="00BD5353"/>
    <w:rsid w:val="00BD6202"/>
    <w:rsid w:val="00BD706B"/>
    <w:rsid w:val="00BE08DA"/>
    <w:rsid w:val="00BE173B"/>
    <w:rsid w:val="00BE25CB"/>
    <w:rsid w:val="00BE291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4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15954"/>
    <w:rsid w:val="00C207A1"/>
    <w:rsid w:val="00C21732"/>
    <w:rsid w:val="00C21E9A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DA9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101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0B18"/>
    <w:rsid w:val="00C61796"/>
    <w:rsid w:val="00C61B23"/>
    <w:rsid w:val="00C621DE"/>
    <w:rsid w:val="00C6329E"/>
    <w:rsid w:val="00C6414E"/>
    <w:rsid w:val="00C64FC7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1DC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4E45"/>
    <w:rsid w:val="00CF03C0"/>
    <w:rsid w:val="00CF0A2B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D4B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A47"/>
    <w:rsid w:val="00D22D82"/>
    <w:rsid w:val="00D23E98"/>
    <w:rsid w:val="00D24F99"/>
    <w:rsid w:val="00D257D5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0CA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F7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7EC"/>
    <w:rsid w:val="00D54A33"/>
    <w:rsid w:val="00D558A0"/>
    <w:rsid w:val="00D55A04"/>
    <w:rsid w:val="00D56195"/>
    <w:rsid w:val="00D56BE2"/>
    <w:rsid w:val="00D57366"/>
    <w:rsid w:val="00D61554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832"/>
    <w:rsid w:val="00D71899"/>
    <w:rsid w:val="00D71C1F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4FB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23E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CA6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0E6"/>
    <w:rsid w:val="00E7063D"/>
    <w:rsid w:val="00E71046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21C"/>
    <w:rsid w:val="00E82C08"/>
    <w:rsid w:val="00E834F7"/>
    <w:rsid w:val="00E84F53"/>
    <w:rsid w:val="00E85A10"/>
    <w:rsid w:val="00E87667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AE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C17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1862"/>
    <w:rsid w:val="00F2243D"/>
    <w:rsid w:val="00F22B29"/>
    <w:rsid w:val="00F24072"/>
    <w:rsid w:val="00F24D98"/>
    <w:rsid w:val="00F24F72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0D93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3B7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4C4"/>
    <w:rsid w:val="00F54810"/>
    <w:rsid w:val="00F550B4"/>
    <w:rsid w:val="00F550E8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5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C5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C5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10C54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10C54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10C5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0C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C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C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C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10C5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10C5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C5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0C5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10C5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10C54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10C54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10C5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C5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C5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C5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410C5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10C5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410C5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10C5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410C5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410C5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410C5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410C5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410C5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C5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410C54"/>
    <w:rPr>
      <w:b/>
    </w:rPr>
  </w:style>
  <w:style w:type="numbering" w:customStyle="1" w:styleId="KennysListStyles">
    <w:name w:val="KennysListStyles"/>
    <w:uiPriority w:val="99"/>
    <w:rsid w:val="00410C5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410C54"/>
    <w:rPr>
      <w:b/>
    </w:rPr>
  </w:style>
  <w:style w:type="paragraph" w:customStyle="1" w:styleId="Answer">
    <w:name w:val="Answer"/>
    <w:basedOn w:val="Normal"/>
    <w:qFormat/>
    <w:rsid w:val="00410C54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410C5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410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410C54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410C54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410C54"/>
    <w:rPr>
      <w:smallCaps/>
    </w:rPr>
  </w:style>
  <w:style w:type="paragraph" w:customStyle="1" w:styleId="SourceCodeCaption">
    <w:name w:val="Source Code Caption"/>
    <w:basedOn w:val="Normal"/>
    <w:rsid w:val="00410C5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410C54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0C5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10C5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10C54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410C54"/>
    <w:rPr>
      <w:b/>
      <w:smallCaps/>
    </w:rPr>
  </w:style>
  <w:style w:type="paragraph" w:customStyle="1" w:styleId="NumberedList">
    <w:name w:val="Numbered List"/>
    <w:basedOn w:val="Normal"/>
    <w:qFormat/>
    <w:rsid w:val="00410C5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410C5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410C5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410C54"/>
  </w:style>
  <w:style w:type="paragraph" w:styleId="ListNumber">
    <w:name w:val="List Number"/>
    <w:basedOn w:val="Normal"/>
    <w:uiPriority w:val="99"/>
    <w:unhideWhenUsed/>
    <w:rsid w:val="00410C5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410C5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410C5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410C5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410C5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410C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10C5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410C5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410C5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10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C54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10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C5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410C54"/>
    <w:rPr>
      <w:smallCaps/>
    </w:rPr>
  </w:style>
  <w:style w:type="paragraph" w:customStyle="1" w:styleId="TableCellNormal">
    <w:name w:val="Table Cell Normal"/>
    <w:basedOn w:val="Normal"/>
    <w:qFormat/>
    <w:rsid w:val="00410C5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410C5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410C54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410C54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410C5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410C5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410C5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410C5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410C54"/>
    <w:rPr>
      <w:i/>
      <w:iCs/>
    </w:rPr>
  </w:style>
  <w:style w:type="character" w:customStyle="1" w:styleId="CommandChar">
    <w:name w:val="Command Char"/>
    <w:basedOn w:val="DefaultParagraphFont"/>
    <w:link w:val="Command"/>
    <w:rsid w:val="00410C5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410C54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410C5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410C5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410C5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410C5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410C5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410C54"/>
    <w:pPr>
      <w:spacing w:after="0"/>
      <w:ind w:left="924" w:hanging="357"/>
    </w:pPr>
  </w:style>
  <w:style w:type="paragraph" w:customStyle="1" w:styleId="a">
    <w:name w:val="`"/>
    <w:basedOn w:val="Normal"/>
    <w:qFormat/>
    <w:rsid w:val="00410C5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410C5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410C5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410C54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410C54"/>
    <w:rPr>
      <w:b/>
      <w:smallCaps/>
    </w:rPr>
  </w:style>
  <w:style w:type="table" w:customStyle="1" w:styleId="SimpleDefinition">
    <w:name w:val="SimpleDefinition"/>
    <w:basedOn w:val="TableNormal"/>
    <w:uiPriority w:val="99"/>
    <w:rsid w:val="00410C5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410C5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410C54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410C54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410C54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410C54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410C54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410C54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410C54"/>
    <w:rPr>
      <w:color w:val="4BACC6" w:themeColor="accent5"/>
    </w:rPr>
  </w:style>
  <w:style w:type="paragraph" w:customStyle="1" w:styleId="ToDoSection">
    <w:name w:val="ToDo Section"/>
    <w:basedOn w:val="Heading1"/>
    <w:qFormat/>
    <w:rsid w:val="00410C54"/>
  </w:style>
  <w:style w:type="paragraph" w:customStyle="1" w:styleId="ToDoQuestionHeader">
    <w:name w:val="ToDo Question Header"/>
    <w:basedOn w:val="Question"/>
    <w:qFormat/>
    <w:rsid w:val="00410C54"/>
  </w:style>
  <w:style w:type="paragraph" w:customStyle="1" w:styleId="ToDoDetails">
    <w:name w:val="ToDoDetails"/>
    <w:basedOn w:val="Normal"/>
    <w:qFormat/>
    <w:rsid w:val="00410C54"/>
  </w:style>
  <w:style w:type="paragraph" w:customStyle="1" w:styleId="CodeExampleCode">
    <w:name w:val="Code Example Code"/>
    <w:basedOn w:val="Normal"/>
    <w:rsid w:val="00410C54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410C54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410C54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410C54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410C54"/>
  </w:style>
  <w:style w:type="paragraph" w:customStyle="1" w:styleId="questionsubsection2">
    <w:name w:val="question sub section 2"/>
    <w:basedOn w:val="Heading4"/>
    <w:qFormat/>
    <w:rsid w:val="00410C54"/>
  </w:style>
  <w:style w:type="paragraph" w:customStyle="1" w:styleId="ListBulletHeader2">
    <w:name w:val="List Bullet Header 2"/>
    <w:basedOn w:val="Normal"/>
    <w:next w:val="ListBullet"/>
    <w:qFormat/>
    <w:rsid w:val="00410C54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CodeExampleHeading"/>
    <w:link w:val="DefChar"/>
    <w:qFormat/>
    <w:rsid w:val="00410C54"/>
  </w:style>
  <w:style w:type="character" w:customStyle="1" w:styleId="CodeExampleHeadingChar">
    <w:name w:val="Code Example Heading Char"/>
    <w:basedOn w:val="DefaultParagraphFont"/>
    <w:link w:val="CodeExampleHeading"/>
    <w:rsid w:val="00410C54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410C54"/>
    <w:rPr>
      <w:rFonts w:eastAsiaTheme="minorEastAsia"/>
      <w:b/>
      <w:smallCaps/>
      <w:color w:val="31378B" w:themeColor="text2"/>
      <w:sz w:val="28"/>
      <w:lang w:eastAsia="fi-FI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  <w:style w:type="table" w:styleId="TableGridLight">
    <w:name w:val="Grid Table Light"/>
    <w:basedOn w:val="TableNormal"/>
    <w:uiPriority w:val="40"/>
    <w:rsid w:val="00B90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34" Type="http://schemas.openxmlformats.org/officeDocument/2006/relationships/image" Target="media/image13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7EECA-933E-4029-BB27-98DD9E94C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1389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107</cp:revision>
  <dcterms:created xsi:type="dcterms:W3CDTF">2019-08-17T19:56:00Z</dcterms:created>
  <dcterms:modified xsi:type="dcterms:W3CDTF">2019-08-18T19:32:00Z</dcterms:modified>
</cp:coreProperties>
</file>