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E293B"/>
          <w:sz w:val="60"/>
        </w:rPr>
        <w:t>SignalDesk</w:t>
      </w:r>
    </w:p>
    <w:p>
      <w:pPr>
        <w:jc w:val="center"/>
      </w:pPr>
      <w:r>
        <w:rPr>
          <w:color w:val="475569"/>
          <w:sz w:val="30"/>
        </w:rPr>
        <w:t>Product Requirements Document</w:t>
      </w:r>
    </w:p>
    <w:p/>
    <w:p>
      <w:pPr>
        <w:jc w:val="center"/>
      </w:pPr>
      <w:r>
        <w:rPr>
          <w:b/>
          <w:sz w:val="22"/>
        </w:rPr>
        <w:t>Personal long-term market research system</w:t>
      </w:r>
    </w:p>
    <w:p>
      <w:pPr>
        <w:jc w:val="center"/>
      </w:pPr>
      <w:r>
        <w:t>Rust + Axum + PostgreSQL + SvelteKit</w:t>
      </w:r>
    </w:p>
    <w:p>
      <w:pPr>
        <w:jc w:val="center"/>
      </w:pPr>
      <w:r>
        <w:t>10 September 2026</w:t>
      </w:r>
    </w:p>
    <w:p>
      <w:r>
        <w:br w:type="page"/>
      </w:r>
    </w:p>
    <w:p>
      <w:r>
        <w:t xml:space="preserve">Version: 5.0  </w:t>
      </w:r>
    </w:p>
    <w:p>
      <w:r>
        <w:t xml:space="preserve">Status: Product direction frozen; implementation may change only when source data proves an assumption wrong  </w:t>
      </w:r>
    </w:p>
    <w:p>
      <w:r>
        <w:t xml:space="preserve">Product type: Personal long-term market research application  </w:t>
      </w:r>
    </w:p>
    <w:p>
      <w:r>
        <w:t>Primary market: Indonesia Stock Exchange (IDX)</w:t>
      </w:r>
    </w:p>
    <w:p>
      <w:pPr>
        <w:pStyle w:val="Heading1"/>
      </w:pPr>
      <w:r>
        <w:t>1. Product summary</w:t>
      </w:r>
    </w:p>
    <w:p>
      <w:r>
        <w:t xml:space="preserve">SignalDesk is an evidence-first equity research workspace for Indonesia-listed stocks. Its first production module is </w:t>
      </w:r>
      <w:r>
        <w:rPr>
          <w:b/>
        </w:rPr>
        <w:t>Structural Liquidity</w:t>
      </w:r>
      <w:r>
        <w:t>, which explains whether a stock's headline trading activity is broad and well-distributed or concentrated around a small free float and a narrow set of broker participants.</w:t>
      </w:r>
    </w:p>
    <w:p>
      <w:r>
        <w:t>The long-term product expands from this first module into a unified research terminal covering:</w:t>
      </w:r>
    </w:p>
    <w:p>
      <w:pPr>
        <w:pStyle w:val="ListBullet"/>
      </w:pPr>
      <w:r>
        <w:t>structural liquidity and market participation;</w:t>
      </w:r>
    </w:p>
    <w:p>
      <w:pPr>
        <w:pStyle w:val="ListBullet"/>
      </w:pPr>
      <w:r>
        <w:t>broker and foreign flow context;</w:t>
      </w:r>
    </w:p>
    <w:p>
      <w:pPr>
        <w:pStyle w:val="ListBullet"/>
      </w:pPr>
      <w:r>
        <w:t>company fundamentals;</w:t>
      </w:r>
    </w:p>
    <w:p>
      <w:pPr>
        <w:pStyle w:val="ListBullet"/>
      </w:pPr>
      <w:r>
        <w:t>valuation and peer comparison;</w:t>
      </w:r>
    </w:p>
    <w:p>
      <w:pPr>
        <w:pStyle w:val="ListBullet"/>
      </w:pPr>
      <w:r>
        <w:t>market behavior and relative strength;</w:t>
      </w:r>
    </w:p>
    <w:p>
      <w:pPr>
        <w:pStyle w:val="ListBullet"/>
      </w:pPr>
      <w:r>
        <w:t>corporate events and filings;</w:t>
      </w:r>
    </w:p>
    <w:p>
      <w:pPr>
        <w:pStyle w:val="ListBullet"/>
      </w:pPr>
      <w:r>
        <w:t>watchlists, notes, and alerts;</w:t>
      </w:r>
    </w:p>
    <w:p>
      <w:pPr>
        <w:pStyle w:val="ListBullet"/>
      </w:pPr>
      <w:r>
        <w:t>later, an AI research assistant grounded only in stored source data.</w:t>
      </w:r>
    </w:p>
    <w:p>
      <w:r>
        <w:t>SignalDesk is not a stock-picking oracle. Its job is to reduce research noise and make the evidence behind a market observation easier to inspect.</w:t>
      </w:r>
    </w:p>
    <w:p>
      <w:pPr>
        <w:pStyle w:val="Heading1"/>
      </w:pPr>
      <w:r>
        <w:t>2. Core product question</w:t>
      </w:r>
    </w:p>
    <w:p>
      <w:pPr>
        <w:ind w:left="360"/>
      </w:pPr>
      <w:r>
        <w:rPr>
          <w:b/>
          <w:i/>
          <w:color w:val="334155"/>
        </w:rPr>
        <w:t>Does a stock's headline trading activity reflect broad liquidity, or is that activity occurring through a narrow free float and concentrated broker participation?</w:t>
      </w:r>
    </w:p>
    <w:p>
      <w:r>
        <w:t>This question is the first module because it is useful, differentiable, explainable, and can be derived from data already available from market-data providers such as Sectors.</w:t>
      </w:r>
    </w:p>
    <w:p>
      <w:pPr>
        <w:pStyle w:val="Heading1"/>
      </w:pPr>
      <w:r>
        <w:t>3. Product goals</w:t>
      </w:r>
    </w:p>
    <w:p>
      <w:pPr>
        <w:ind w:left="0"/>
      </w:pPr>
      <w:r>
        <w:t>1. Give a researcher a fast post-market view of structural liquidity across IDX securities.</w:t>
      </w:r>
    </w:p>
    <w:p>
      <w:pPr>
        <w:ind w:left="0"/>
      </w:pPr>
      <w:r>
        <w:t>2. Normalize trading activity by free float instead of relying on raw volume or headline market capitalization alone.</w:t>
      </w:r>
    </w:p>
    <w:p>
      <w:pPr>
        <w:ind w:left="0"/>
      </w:pPr>
      <w:r>
        <w:t>3. Quantify broker participation concentration with transparent formulas.</w:t>
      </w:r>
    </w:p>
    <w:p>
      <w:pPr>
        <w:ind w:left="0"/>
      </w:pPr>
      <w:r>
        <w:t>4. Show foreign participation as context, not as a directional trading signal.</w:t>
      </w:r>
    </w:p>
    <w:p>
      <w:pPr>
        <w:ind w:left="0"/>
      </w:pPr>
      <w:r>
        <w:t>5. Keep raw source data, normalized data, and derived metrics clearly separated.</w:t>
      </w:r>
    </w:p>
    <w:p>
      <w:pPr>
        <w:ind w:left="0"/>
      </w:pPr>
      <w:r>
        <w:t>6. Preserve historical snapshots so methodology can be reproduced later.</w:t>
      </w:r>
    </w:p>
    <w:p>
      <w:pPr>
        <w:ind w:left="0"/>
      </w:pPr>
      <w:r>
        <w:t>7. Build the product as a long-lived personal research system rather than a disposable demo.</w:t>
      </w:r>
    </w:p>
    <w:p>
      <w:pPr>
        <w:ind w:left="0"/>
      </w:pPr>
      <w:r>
        <w:t>8. Keep the architecture simple enough for one developer to operate.</w:t>
      </w:r>
    </w:p>
    <w:p>
      <w:pPr>
        <w:pStyle w:val="Heading1"/>
      </w:pPr>
      <w:r>
        <w:t>4. Product principles</w:t>
      </w:r>
    </w:p>
    <w:p>
      <w:pPr>
        <w:pStyle w:val="Heading2"/>
      </w:pPr>
      <w:r>
        <w:t>4.1 Evidence before conclusions</w:t>
      </w:r>
    </w:p>
    <w:p>
      <w:r>
        <w:t>Every derived metric must be traceable to source inputs and an as-of date.</w:t>
      </w:r>
    </w:p>
    <w:p>
      <w:pPr>
        <w:pStyle w:val="Heading2"/>
      </w:pPr>
      <w:r>
        <w:t>4.2 No single magic score</w:t>
      </w:r>
    </w:p>
    <w:p>
      <w:r>
        <w:t>SignalDesk should not collapse unrelated market dimensions into one opaque score. Free float, turnover, concentration, foreign flow, fundamentals, valuation, and market behavior remain separate dimensions.</w:t>
      </w:r>
    </w:p>
    <w:p>
      <w:pPr>
        <w:pStyle w:val="Heading2"/>
      </w:pPr>
      <w:r>
        <w:t>4.3 Missing data must remain missing</w:t>
      </w:r>
    </w:p>
    <w:p>
      <w:r>
        <w:t>A missing value is not zero. A stale snapshot is not current. An estimate must be labeled as an estimate.</w:t>
      </w:r>
    </w:p>
    <w:p>
      <w:pPr>
        <w:pStyle w:val="Heading2"/>
      </w:pPr>
      <w:r>
        <w:t>4.4 Avoid causal overclaiming</w:t>
      </w:r>
    </w:p>
    <w:p>
      <w:r>
        <w:t>Broker concentration, foreign flow, news, and corporate actions can coincide with a price move. SignalDesk must not claim that one observed variable caused the move unless the relationship is directly established.</w:t>
      </w:r>
    </w:p>
    <w:p>
      <w:pPr>
        <w:pStyle w:val="Heading2"/>
      </w:pPr>
      <w:r>
        <w:t>4.5 No fake precision</w:t>
      </w:r>
    </w:p>
    <w:p>
      <w:r>
        <w:t>Thresholds and classifications should be interpretable and versioned. The UI must avoid decimal-heavy pseudo-scientific scoring that suggests more certainty than the data supports.</w:t>
      </w:r>
    </w:p>
    <w:p>
      <w:pPr>
        <w:pStyle w:val="Heading2"/>
      </w:pPr>
      <w:r>
        <w:t>4.6 Local data first</w:t>
      </w:r>
    </w:p>
    <w:p>
      <w:r>
        <w:t>User-facing reads should come from SignalDesk's database. External providers are ingestion sources, not live dependencies for every page view.</w:t>
      </w:r>
    </w:p>
    <w:p>
      <w:pPr>
        <w:pStyle w:val="Heading1"/>
      </w:pPr>
      <w:r>
        <w:t>5. Target users</w:t>
      </w:r>
    </w:p>
    <w:p>
      <w:pPr>
        <w:pStyle w:val="Heading2"/>
      </w:pPr>
      <w:r>
        <w:t>Primary user</w:t>
      </w:r>
    </w:p>
    <w:p>
      <w:r>
        <w:t>An active IDX researcher who understands basic price/volume data and wants to investigate the structure underneath headline liquidity.</w:t>
      </w:r>
    </w:p>
    <w:p>
      <w:pPr>
        <w:pStyle w:val="Heading2"/>
      </w:pPr>
      <w:r>
        <w:t>Secondary users</w:t>
      </w:r>
    </w:p>
    <w:p>
      <w:pPr>
        <w:pStyle w:val="ListBullet"/>
      </w:pPr>
      <w:r>
        <w:t>individual equity analysts;</w:t>
      </w:r>
    </w:p>
    <w:p>
      <w:pPr>
        <w:pStyle w:val="ListBullet"/>
      </w:pPr>
      <w:r>
        <w:t>quant-minded retail investors;</w:t>
      </w:r>
    </w:p>
    <w:p>
      <w:pPr>
        <w:pStyle w:val="ListBullet"/>
      </w:pPr>
      <w:r>
        <w:t>finance writers/content creators;</w:t>
      </w:r>
    </w:p>
    <w:p>
      <w:pPr>
        <w:pStyle w:val="ListBullet"/>
      </w:pPr>
      <w:r>
        <w:t>developers learning market microstructure and data engineering;</w:t>
      </w:r>
    </w:p>
    <w:p>
      <w:pPr>
        <w:pStyle w:val="ListBullet"/>
      </w:pPr>
      <w:r>
        <w:t>future personal use for watchlists and structured research notes.</w:t>
      </w:r>
    </w:p>
    <w:p>
      <w:pPr>
        <w:pStyle w:val="Heading1"/>
      </w:pPr>
      <w:r>
        <w:t>6. Jobs to be done</w:t>
      </w:r>
    </w:p>
    <w:p>
      <w:pPr>
        <w:pStyle w:val="ListBullet"/>
      </w:pPr>
      <w:r>
        <w:t>When a stock trades heavily, help me determine whether the activity is broad or concentrated.</w:t>
      </w:r>
    </w:p>
    <w:p>
      <w:pPr>
        <w:pStyle w:val="ListBullet"/>
      </w:pPr>
      <w:r>
        <w:t>When two stocks have similar trading value, help me compare how much of their actual free float changed hands.</w:t>
      </w:r>
    </w:p>
    <w:p>
      <w:pPr>
        <w:pStyle w:val="ListBullet"/>
      </w:pPr>
      <w:r>
        <w:t>When broker participation is concentrated, help me quantify that concentration rather than eyeballing a broker table.</w:t>
      </w:r>
    </w:p>
    <w:p>
      <w:pPr>
        <w:pStyle w:val="ListBullet"/>
      </w:pPr>
      <w:r>
        <w:t>When foreign flow is large, show its scale relative to the tradable company value instead of showing a raw number alone.</w:t>
      </w:r>
    </w:p>
    <w:p>
      <w:pPr>
        <w:pStyle w:val="ListBullet"/>
      </w:pPr>
      <w:r>
        <w:t>When data is incomplete, tell me exactly what cannot be calculated.</w:t>
      </w:r>
    </w:p>
    <w:p>
      <w:pPr>
        <w:pStyle w:val="ListBullet"/>
      </w:pPr>
      <w:r>
        <w:t>When I return later, preserve historical snapshots so I can compare structural behavior over time.</w:t>
      </w:r>
    </w:p>
    <w:p>
      <w:pPr>
        <w:pStyle w:val="Heading1"/>
      </w:pPr>
      <w:r>
        <w:t>7. Initial product module: Structural Liquidity</w:t>
      </w:r>
    </w:p>
    <w:p>
      <w:pPr>
        <w:pStyle w:val="Heading2"/>
      </w:pPr>
      <w:r>
        <w:t>7.1 Market Structure Radar</w:t>
      </w:r>
    </w:p>
    <w:p>
      <w:r>
        <w:t>A table-first page covering a selected trading date.</w:t>
      </w:r>
    </w:p>
    <w:p>
      <w:r>
        <w:t>Minimum columns:</w:t>
      </w:r>
    </w:p>
    <w:p>
      <w:pPr>
        <w:pStyle w:val="ListBullet"/>
      </w:pPr>
      <w:r>
        <w:t>symbol;</w:t>
      </w:r>
    </w:p>
    <w:p>
      <w:pPr>
        <w:pStyle w:val="ListBullet"/>
      </w:pPr>
      <w:r>
        <w:t>company name;</w:t>
      </w:r>
    </w:p>
    <w:p>
      <w:pPr>
        <w:pStyle w:val="ListBullet"/>
      </w:pPr>
      <w:r>
        <w:t>close and daily return;</w:t>
      </w:r>
    </w:p>
    <w:p>
      <w:pPr>
        <w:pStyle w:val="ListBullet"/>
      </w:pPr>
      <w:r>
        <w:t>traded value;</w:t>
      </w:r>
    </w:p>
    <w:p>
      <w:pPr>
        <w:pStyle w:val="ListBullet"/>
      </w:pPr>
      <w:r>
        <w:t>headline market capitalization;</w:t>
      </w:r>
    </w:p>
    <w:p>
      <w:pPr>
        <w:pStyle w:val="ListBullet"/>
      </w:pPr>
      <w:r>
        <w:t>free-float percentage;</w:t>
      </w:r>
    </w:p>
    <w:p>
      <w:pPr>
        <w:pStyle w:val="ListBullet"/>
      </w:pPr>
      <w:r>
        <w:t>free-float market capitalization;</w:t>
      </w:r>
    </w:p>
    <w:p>
      <w:pPr>
        <w:pStyle w:val="ListBullet"/>
      </w:pPr>
      <w:r>
        <w:t>float turnover;</w:t>
      </w:r>
    </w:p>
    <w:p>
      <w:pPr>
        <w:pStyle w:val="ListBullet"/>
      </w:pPr>
      <w:r>
        <w:t>broker HHI;</w:t>
      </w:r>
    </w:p>
    <w:p>
      <w:pPr>
        <w:pStyle w:val="ListBullet"/>
      </w:pPr>
      <w:r>
        <w:t>effective broker count;</w:t>
      </w:r>
    </w:p>
    <w:p>
      <w:pPr>
        <w:pStyle w:val="ListBullet"/>
      </w:pPr>
      <w:r>
        <w:t>CR5;</w:t>
      </w:r>
    </w:p>
    <w:p>
      <w:pPr>
        <w:pStyle w:val="ListBullet"/>
      </w:pPr>
      <w:r>
        <w:t>foreign-flow intensity;</w:t>
      </w:r>
    </w:p>
    <w:p>
      <w:pPr>
        <w:pStyle w:val="ListBullet"/>
      </w:pPr>
      <w:r>
        <w:t>structural classification;</w:t>
      </w:r>
    </w:p>
    <w:p>
      <w:pPr>
        <w:pStyle w:val="ListBullet"/>
      </w:pPr>
      <w:r>
        <w:t>data-quality status;</w:t>
      </w:r>
    </w:p>
    <w:p>
      <w:pPr>
        <w:pStyle w:val="ListBullet"/>
      </w:pPr>
      <w:r>
        <w:t>as-of date.</w:t>
      </w:r>
    </w:p>
    <w:p>
      <w:r>
        <w:t>Filters:</w:t>
      </w:r>
    </w:p>
    <w:p>
      <w:pPr>
        <w:pStyle w:val="ListBullet"/>
      </w:pPr>
      <w:r>
        <w:t>symbol/company;</w:t>
      </w:r>
    </w:p>
    <w:p>
      <w:pPr>
        <w:pStyle w:val="ListBullet"/>
      </w:pPr>
      <w:r>
        <w:t>sector;</w:t>
      </w:r>
    </w:p>
    <w:p>
      <w:pPr>
        <w:pStyle w:val="ListBullet"/>
      </w:pPr>
      <w:r>
        <w:t>minimum traded value;</w:t>
      </w:r>
    </w:p>
    <w:p>
      <w:pPr>
        <w:pStyle w:val="ListBullet"/>
      </w:pPr>
      <w:r>
        <w:t>market-cap range;</w:t>
      </w:r>
    </w:p>
    <w:p>
      <w:pPr>
        <w:pStyle w:val="ListBullet"/>
      </w:pPr>
      <w:r>
        <w:t>free-float range;</w:t>
      </w:r>
    </w:p>
    <w:p>
      <w:pPr>
        <w:pStyle w:val="ListBullet"/>
      </w:pPr>
      <w:r>
        <w:t>structural classification;</w:t>
      </w:r>
    </w:p>
    <w:p>
      <w:pPr>
        <w:pStyle w:val="ListBullet"/>
      </w:pPr>
      <w:r>
        <w:t>data-quality status.</w:t>
      </w:r>
    </w:p>
    <w:p>
      <w:r>
        <w:t>Sorting:</w:t>
      </w:r>
    </w:p>
    <w:p>
      <w:pPr>
        <w:pStyle w:val="ListBullet"/>
      </w:pPr>
      <w:r>
        <w:t>float turnover;</w:t>
      </w:r>
    </w:p>
    <w:p>
      <w:pPr>
        <w:pStyle w:val="ListBullet"/>
      </w:pPr>
      <w:r>
        <w:t>HHI;</w:t>
      </w:r>
    </w:p>
    <w:p>
      <w:pPr>
        <w:pStyle w:val="ListBullet"/>
      </w:pPr>
      <w:r>
        <w:t>effective brokers;</w:t>
      </w:r>
    </w:p>
    <w:p>
      <w:pPr>
        <w:pStyle w:val="ListBullet"/>
      </w:pPr>
      <w:r>
        <w:t>CR5;</w:t>
      </w:r>
    </w:p>
    <w:p>
      <w:pPr>
        <w:pStyle w:val="ListBullet"/>
      </w:pPr>
      <w:r>
        <w:t>foreign-flow intensity;</w:t>
      </w:r>
    </w:p>
    <w:p>
      <w:pPr>
        <w:pStyle w:val="ListBullet"/>
      </w:pPr>
      <w:r>
        <w:t>traded value;</w:t>
      </w:r>
    </w:p>
    <w:p>
      <w:pPr>
        <w:pStyle w:val="ListBullet"/>
      </w:pPr>
      <w:r>
        <w:t>free-float percentage.</w:t>
      </w:r>
    </w:p>
    <w:p>
      <w:pPr>
        <w:pStyle w:val="Heading2"/>
      </w:pPr>
      <w:r>
        <w:t>7.2 Stock Structure Detail</w:t>
      </w:r>
    </w:p>
    <w:p>
      <w:r>
        <w:t>The detail page shall show:</w:t>
      </w:r>
    </w:p>
    <w:p>
      <w:pPr>
        <w:pStyle w:val="ListBullet"/>
      </w:pPr>
      <w:r>
        <w:t>headline market cap vs free-float market cap;</w:t>
      </w:r>
    </w:p>
    <w:p>
      <w:pPr>
        <w:pStyle w:val="ListBullet"/>
      </w:pPr>
      <w:r>
        <w:t>traded value and traded shares;</w:t>
      </w:r>
    </w:p>
    <w:p>
      <w:pPr>
        <w:pStyle w:val="ListBullet"/>
      </w:pPr>
      <w:r>
        <w:t>free-float percentage;</w:t>
      </w:r>
    </w:p>
    <w:p>
      <w:pPr>
        <w:pStyle w:val="ListBullet"/>
      </w:pPr>
      <w:r>
        <w:t>float turnover, with formula variant and units;</w:t>
      </w:r>
    </w:p>
    <w:p>
      <w:pPr>
        <w:pStyle w:val="ListBullet"/>
      </w:pPr>
      <w:r>
        <w:t>broker participation distribution;</w:t>
      </w:r>
    </w:p>
    <w:p>
      <w:pPr>
        <w:pStyle w:val="ListBullet"/>
      </w:pPr>
      <w:r>
        <w:t>HHI, effective brokers, and CR5;</w:t>
      </w:r>
    </w:p>
    <w:p>
      <w:pPr>
        <w:pStyle w:val="ListBullet"/>
      </w:pPr>
      <w:r>
        <w:t>foreign-flow intensity;</w:t>
      </w:r>
    </w:p>
    <w:p>
      <w:pPr>
        <w:pStyle w:val="ListBullet"/>
      </w:pPr>
      <w:r>
        <w:t>structural classification explanation;</w:t>
      </w:r>
    </w:p>
    <w:p>
      <w:pPr>
        <w:pStyle w:val="ListBullet"/>
      </w:pPr>
      <w:r>
        <w:t>source provenance and quality flags;</w:t>
      </w:r>
    </w:p>
    <w:p>
      <w:pPr>
        <w:pStyle w:val="ListBullet"/>
      </w:pPr>
      <w:r>
        <w:t>historical structural metrics once enough snapshots exist.</w:t>
      </w:r>
    </w:p>
    <w:p>
      <w:pPr>
        <w:pStyle w:val="Heading2"/>
      </w:pPr>
      <w:r>
        <w:t>7.3 Compare</w:t>
      </w:r>
    </w:p>
    <w:p>
      <w:r>
        <w:t>Compare 2-4 securities using identical metric definitions and one common trading date.</w:t>
      </w:r>
    </w:p>
    <w:p>
      <w:pPr>
        <w:pStyle w:val="Heading2"/>
      </w:pPr>
      <w:r>
        <w:t>7.4 Methodology</w:t>
      </w:r>
    </w:p>
    <w:p>
      <w:r>
        <w:t>A methodology page must explain every derived metric in plain language, including formula, units, caveats, and version.</w:t>
      </w:r>
    </w:p>
    <w:p>
      <w:pPr>
        <w:pStyle w:val="Heading1"/>
      </w:pPr>
      <w:r>
        <w:t>8. Structural classifications</w:t>
      </w:r>
    </w:p>
    <w:p>
      <w:r>
        <w:t>Initial classes:</w:t>
      </w:r>
    </w:p>
    <w:p>
      <w:pPr>
        <w:pStyle w:val="ListBullet"/>
      </w:pPr>
      <w:r>
        <w:rPr>
          <w:b/>
        </w:rPr>
        <w:t>Broad Liquidity</w:t>
      </w:r>
      <w:r>
        <w:t xml:space="preserve"> - participation is relatively broad and float turnover is not unusually high.</w:t>
      </w:r>
    </w:p>
    <w:p>
      <w:pPr>
        <w:pStyle w:val="ListBullet"/>
      </w:pPr>
      <w:r>
        <w:rPr>
          <w:b/>
        </w:rPr>
        <w:t>Float-Intense</w:t>
      </w:r>
      <w:r>
        <w:t xml:space="preserve"> - trading activity is unusually high relative to estimated free float.</w:t>
      </w:r>
    </w:p>
    <w:p>
      <w:pPr>
        <w:pStyle w:val="ListBullet"/>
      </w:pPr>
      <w:r>
        <w:rPr>
          <w:b/>
        </w:rPr>
        <w:t>Broker-Concentrated</w:t>
      </w:r>
      <w:r>
        <w:t xml:space="preserve"> - a relatively small effective set of brokers accounts for a large share of gross participation.</w:t>
      </w:r>
    </w:p>
    <w:p>
      <w:pPr>
        <w:pStyle w:val="ListBullet"/>
      </w:pPr>
      <w:r>
        <w:rPr>
          <w:b/>
        </w:rPr>
        <w:t>Concentrated + Float-Intense</w:t>
      </w:r>
      <w:r>
        <w:t xml:space="preserve"> - both conditions are elevated.</w:t>
      </w:r>
    </w:p>
    <w:p>
      <w:pPr>
        <w:pStyle w:val="ListBullet"/>
      </w:pPr>
      <w:r>
        <w:rPr>
          <w:b/>
        </w:rPr>
        <w:t>Thin / Quiet</w:t>
      </w:r>
      <w:r>
        <w:t xml:space="preserve"> - activity is below the minimum liquidity floor or participation is too sparse to interpret usefully.</w:t>
      </w:r>
    </w:p>
    <w:p>
      <w:pPr>
        <w:pStyle w:val="ListBullet"/>
      </w:pPr>
      <w:r>
        <w:rPr>
          <w:b/>
        </w:rPr>
        <w:t>Insufficient Data</w:t>
      </w:r>
      <w:r>
        <w:t xml:space="preserve"> - mandatory inputs are missing, stale, invalid, or fail reconciliation.</w:t>
      </w:r>
    </w:p>
    <w:p>
      <w:r>
        <w:t>These classes are research descriptions. They do not mean bullish, bearish, safe, unsafe, compliant, manipulated, or investable.</w:t>
      </w:r>
    </w:p>
    <w:p>
      <w:pPr>
        <w:pStyle w:val="Heading1"/>
      </w:pPr>
      <w:r>
        <w:t>9. Data sources</w:t>
      </w:r>
    </w:p>
    <w:p>
      <w:pPr>
        <w:pStyle w:val="Heading2"/>
      </w:pPr>
      <w:r>
        <w:t>Required for M1</w:t>
      </w:r>
    </w:p>
    <w:p>
      <w:r>
        <w:t>The provider abstraction must support these logical source categories:</w:t>
      </w:r>
    </w:p>
    <w:p>
      <w:pPr>
        <w:pStyle w:val="ListBullet"/>
      </w:pPr>
      <w:r>
        <w:t>instrument/company master;</w:t>
      </w:r>
    </w:p>
    <w:p>
      <w:pPr>
        <w:pStyle w:val="ListBullet"/>
      </w:pPr>
      <w:r>
        <w:t>daily price and volume;</w:t>
      </w:r>
    </w:p>
    <w:p>
      <w:pPr>
        <w:pStyle w:val="ListBullet"/>
      </w:pPr>
      <w:r>
        <w:t>daily traded value;</w:t>
      </w:r>
    </w:p>
    <w:p>
      <w:pPr>
        <w:pStyle w:val="ListBullet"/>
      </w:pPr>
      <w:r>
        <w:t>market capitalization;</w:t>
      </w:r>
    </w:p>
    <w:p>
      <w:pPr>
        <w:pStyle w:val="ListBullet"/>
      </w:pPr>
      <w:r>
        <w:t>free-float snapshot;</w:t>
      </w:r>
    </w:p>
    <w:p>
      <w:pPr>
        <w:pStyle w:val="ListBullet"/>
      </w:pPr>
      <w:r>
        <w:t>per-symbol broker activity;</w:t>
      </w:r>
    </w:p>
    <w:p>
      <w:pPr>
        <w:pStyle w:val="ListBullet"/>
      </w:pPr>
      <w:r>
        <w:t>broker registry/metadata when available;</w:t>
      </w:r>
    </w:p>
    <w:p>
      <w:pPr>
        <w:pStyle w:val="ListBullet"/>
      </w:pPr>
      <w:r>
        <w:t>foreign-flow data.</w:t>
      </w:r>
    </w:p>
    <w:p>
      <w:r>
        <w:t>Sectors is the first provider. Provider-specific DTOs must not leak into domain calculations.</w:t>
      </w:r>
    </w:p>
    <w:p>
      <w:pPr>
        <w:pStyle w:val="Heading2"/>
      </w:pPr>
      <w:r>
        <w:t>Later sources</w:t>
      </w:r>
    </w:p>
    <w:p>
      <w:r>
        <w:t>Potential later ingestion categories:</w:t>
      </w:r>
    </w:p>
    <w:p>
      <w:pPr>
        <w:pStyle w:val="ListBullet"/>
      </w:pPr>
      <w:r>
        <w:t>financial statements;</w:t>
      </w:r>
    </w:p>
    <w:p>
      <w:pPr>
        <w:pStyle w:val="ListBullet"/>
      </w:pPr>
      <w:r>
        <w:t>valuation ratios;</w:t>
      </w:r>
    </w:p>
    <w:p>
      <w:pPr>
        <w:pStyle w:val="ListBullet"/>
      </w:pPr>
      <w:r>
        <w:t>corporate actions;</w:t>
      </w:r>
    </w:p>
    <w:p>
      <w:pPr>
        <w:pStyle w:val="ListBullet"/>
      </w:pPr>
      <w:r>
        <w:t>insider/major shareholder filings;</w:t>
      </w:r>
    </w:p>
    <w:p>
      <w:pPr>
        <w:pStyle w:val="ListBullet"/>
      </w:pPr>
      <w:r>
        <w:t>news;</w:t>
      </w:r>
    </w:p>
    <w:p>
      <w:pPr>
        <w:pStyle w:val="ListBullet"/>
      </w:pPr>
      <w:r>
        <w:t>suspensions/market notices;</w:t>
      </w:r>
    </w:p>
    <w:p>
      <w:pPr>
        <w:pStyle w:val="ListBullet"/>
      </w:pPr>
      <w:r>
        <w:t>macro/sector benchmarks.</w:t>
      </w:r>
    </w:p>
    <w:p>
      <w:pPr>
        <w:pStyle w:val="Heading1"/>
      </w:pPr>
      <w:r>
        <w:t>10. Product scope by milestone</w:t>
      </w:r>
    </w:p>
    <w:p>
      <w:pPr>
        <w:pStyle w:val="Heading2"/>
      </w:pPr>
      <w:r>
        <w:t>M0 - Data feasibility</w:t>
      </w:r>
    </w:p>
    <w:p>
      <w:r>
        <w:t>Purpose: prove units, coverage, dates, and formula feasibility against real data.</w:t>
      </w:r>
    </w:p>
    <w:p>
      <w:r>
        <w:t>Output: CLI/JSON for 3-5 deliberately different stocks.</w:t>
      </w:r>
    </w:p>
    <w:p>
      <w:pPr>
        <w:pStyle w:val="Heading2"/>
      </w:pPr>
      <w:r>
        <w:t>M1 - Structural Liquidity MVP</w:t>
      </w:r>
    </w:p>
    <w:p>
      <w:pPr>
        <w:pStyle w:val="ListBullet"/>
      </w:pPr>
      <w:r>
        <w:t>ingestion and persistent cache;</w:t>
      </w:r>
    </w:p>
    <w:p>
      <w:pPr>
        <w:pStyle w:val="ListBullet"/>
      </w:pPr>
      <w:r>
        <w:t>PostgreSQL schema;</w:t>
      </w:r>
    </w:p>
    <w:p>
      <w:pPr>
        <w:pStyle w:val="ListBullet"/>
      </w:pPr>
      <w:r>
        <w:t>core structural formulas;</w:t>
      </w:r>
    </w:p>
    <w:p>
      <w:pPr>
        <w:pStyle w:val="ListBullet"/>
      </w:pPr>
      <w:r>
        <w:t>radar;</w:t>
      </w:r>
    </w:p>
    <w:p>
      <w:pPr>
        <w:pStyle w:val="ListBullet"/>
      </w:pPr>
      <w:r>
        <w:t>detail;</w:t>
      </w:r>
    </w:p>
    <w:p>
      <w:pPr>
        <w:pStyle w:val="ListBullet"/>
      </w:pPr>
      <w:r>
        <w:t>compare;</w:t>
      </w:r>
    </w:p>
    <w:p>
      <w:pPr>
        <w:pStyle w:val="ListBullet"/>
      </w:pPr>
      <w:r>
        <w:t>methodology/provenance;</w:t>
      </w:r>
    </w:p>
    <w:p>
      <w:pPr>
        <w:pStyle w:val="ListBullet"/>
      </w:pPr>
      <w:r>
        <w:t>manual/operator refresh;</w:t>
      </w:r>
    </w:p>
    <w:p>
      <w:pPr>
        <w:pStyle w:val="ListBullet"/>
      </w:pPr>
      <w:r>
        <w:t>historical storage of created snapshots.</w:t>
      </w:r>
    </w:p>
    <w:p>
      <w:pPr>
        <w:pStyle w:val="Heading2"/>
      </w:pPr>
      <w:r>
        <w:t>M2 - Research Page</w:t>
      </w:r>
    </w:p>
    <w:p>
      <w:pPr>
        <w:pStyle w:val="ListBullet"/>
      </w:pPr>
      <w:r>
        <w:t>historical price/value chart;</w:t>
      </w:r>
    </w:p>
    <w:p>
      <w:pPr>
        <w:pStyle w:val="ListBullet"/>
      </w:pPr>
      <w:r>
        <w:t>structural metric history;</w:t>
      </w:r>
    </w:p>
    <w:p>
      <w:pPr>
        <w:pStyle w:val="ListBullet"/>
      </w:pPr>
      <w:r>
        <w:t>notes;</w:t>
      </w:r>
    </w:p>
    <w:p>
      <w:pPr>
        <w:pStyle w:val="ListBullet"/>
      </w:pPr>
      <w:r>
        <w:t>saved comparisons;</w:t>
      </w:r>
    </w:p>
    <w:p>
      <w:pPr>
        <w:pStyle w:val="ListBullet"/>
      </w:pPr>
      <w:r>
        <w:t>watchlist.</w:t>
      </w:r>
    </w:p>
    <w:p>
      <w:pPr>
        <w:pStyle w:val="Heading2"/>
      </w:pPr>
      <w:r>
        <w:t>M3 - Fundamentals and Valuation</w:t>
      </w:r>
    </w:p>
    <w:p>
      <w:pPr>
        <w:pStyle w:val="ListBullet"/>
      </w:pPr>
      <w:r>
        <w:t>revenue, earnings, margins, ROE/ROA, leverage, cash flow;</w:t>
      </w:r>
    </w:p>
    <w:p>
      <w:pPr>
        <w:pStyle w:val="ListBullet"/>
      </w:pPr>
      <w:r>
        <w:t>P/E, P/B, EV/EBITDA where available;</w:t>
      </w:r>
    </w:p>
    <w:p>
      <w:pPr>
        <w:pStyle w:val="ListBullet"/>
      </w:pPr>
      <w:r>
        <w:t>historical and peer comparison;</w:t>
      </w:r>
    </w:p>
    <w:p>
      <w:pPr>
        <w:pStyle w:val="ListBullet"/>
      </w:pPr>
      <w:r>
        <w:t>no arbitrary all-in-one quality score.</w:t>
      </w:r>
    </w:p>
    <w:p>
      <w:pPr>
        <w:pStyle w:val="Heading2"/>
      </w:pPr>
      <w:r>
        <w:t>M4 - Market Behavior and Events</w:t>
      </w:r>
    </w:p>
    <w:p>
      <w:pPr>
        <w:pStyle w:val="ListBullet"/>
      </w:pPr>
      <w:r>
        <w:t>market/sector-relative returns;</w:t>
      </w:r>
    </w:p>
    <w:p>
      <w:pPr>
        <w:pStyle w:val="ListBullet"/>
      </w:pPr>
      <w:r>
        <w:t>abnormal volume;</w:t>
      </w:r>
    </w:p>
    <w:p>
      <w:pPr>
        <w:pStyle w:val="ListBullet"/>
      </w:pPr>
      <w:r>
        <w:t>volatility;</w:t>
      </w:r>
    </w:p>
    <w:p>
      <w:pPr>
        <w:pStyle w:val="ListBullet"/>
      </w:pPr>
      <w:r>
        <w:t>news/corporate actions/filings timeline;</w:t>
      </w:r>
    </w:p>
    <w:p>
      <w:pPr>
        <w:pStyle w:val="ListBullet"/>
      </w:pPr>
      <w:r>
        <w:t>event coincidence, not unsupported causality.</w:t>
      </w:r>
    </w:p>
    <w:p>
      <w:pPr>
        <w:pStyle w:val="Heading2"/>
      </w:pPr>
      <w:r>
        <w:t>M5 - Alerts</w:t>
      </w:r>
    </w:p>
    <w:p>
      <w:pPr>
        <w:pStyle w:val="ListBullet"/>
      </w:pPr>
      <w:r>
        <w:t>user-defined thresholds;</w:t>
      </w:r>
    </w:p>
    <w:p>
      <w:pPr>
        <w:pStyle w:val="ListBullet"/>
      </w:pPr>
      <w:r>
        <w:t>daily structural changes;</w:t>
      </w:r>
    </w:p>
    <w:p>
      <w:pPr>
        <w:pStyle w:val="ListBullet"/>
      </w:pPr>
      <w:r>
        <w:t>watchlist event notifications;</w:t>
      </w:r>
    </w:p>
    <w:p>
      <w:pPr>
        <w:pStyle w:val="ListBullet"/>
      </w:pPr>
      <w:r>
        <w:t>rate-limited background evaluation.</w:t>
      </w:r>
    </w:p>
    <w:p>
      <w:pPr>
        <w:pStyle w:val="Heading2"/>
      </w:pPr>
      <w:r>
        <w:t>M6 - Grounded Research Assistant</w:t>
      </w:r>
    </w:p>
    <w:p>
      <w:r>
        <w:t>An assistant may summarize SignalDesk's stored evidence, compare companies, and explain metrics. It must cite stored facts and cannot silently invent missing financial data.</w:t>
      </w:r>
    </w:p>
    <w:p>
      <w:pPr>
        <w:pStyle w:val="Heading1"/>
      </w:pPr>
      <w:r>
        <w:t>11. Non-goals</w:t>
      </w:r>
    </w:p>
    <w:p>
      <w:r>
        <w:t>For the foreseeable product:</w:t>
      </w:r>
    </w:p>
    <w:p>
      <w:pPr>
        <w:pStyle w:val="ListBullet"/>
      </w:pPr>
      <w:r>
        <w:t>no automated order execution;</w:t>
      </w:r>
    </w:p>
    <w:p>
      <w:pPr>
        <w:pStyle w:val="ListBullet"/>
      </w:pPr>
      <w:r>
        <w:t>no direct brokerage integration in core scope;</w:t>
      </w:r>
    </w:p>
    <w:p>
      <w:pPr>
        <w:pStyle w:val="ListBullet"/>
      </w:pPr>
      <w:r>
        <w:t>no target prices;</w:t>
      </w:r>
    </w:p>
    <w:p>
      <w:pPr>
        <w:pStyle w:val="ListBullet"/>
      </w:pPr>
      <w:r>
        <w:t>no guaranteed return prediction;</w:t>
      </w:r>
    </w:p>
    <w:p>
      <w:pPr>
        <w:pStyle w:val="ListBullet"/>
      </w:pPr>
      <w:r>
        <w:t>no manipulation/gorengan/bandar accusations;</w:t>
      </w:r>
    </w:p>
    <w:p>
      <w:pPr>
        <w:pStyle w:val="ListBullet"/>
      </w:pPr>
      <w:r>
        <w:t>no beneficial-owner inference from broker codes;</w:t>
      </w:r>
    </w:p>
    <w:p>
      <w:pPr>
        <w:pStyle w:val="ListBullet"/>
      </w:pPr>
      <w:r>
        <w:t>no recreation of proprietary index/regulator methodology;</w:t>
      </w:r>
    </w:p>
    <w:p>
      <w:pPr>
        <w:pStyle w:val="ListBullet"/>
      </w:pPr>
      <w:r>
        <w:t>no HFT or tick-level execution system;</w:t>
      </w:r>
    </w:p>
    <w:p>
      <w:pPr>
        <w:pStyle w:val="ListBullet"/>
      </w:pPr>
      <w:r>
        <w:t>no microservice split without a concrete scaling or ownership reason.</w:t>
      </w:r>
    </w:p>
    <w:p>
      <w:pPr>
        <w:pStyle w:val="Heading1"/>
      </w:pPr>
      <w:r>
        <w:t>12. User experience principles</w:t>
      </w:r>
    </w:p>
    <w:p>
      <w:pPr>
        <w:pStyle w:val="ListBullet"/>
      </w:pPr>
      <w:r>
        <w:t>Desktop-first research workspace, responsive on mobile.</w:t>
      </w:r>
    </w:p>
    <w:p>
      <w:pPr>
        <w:pStyle w:val="ListBullet"/>
      </w:pPr>
      <w:r>
        <w:t>Tables before decorative dashboards.</w:t>
      </w:r>
    </w:p>
    <w:p>
      <w:pPr>
        <w:pStyle w:val="ListBullet"/>
      </w:pPr>
      <w:r>
        <w:t>Charts only when they make comparison easier.</w:t>
      </w:r>
    </w:p>
    <w:p>
      <w:pPr>
        <w:pStyle w:val="ListBullet"/>
      </w:pPr>
      <w:r>
        <w:t>Every metric should have a tooltip/methodology link.</w:t>
      </w:r>
    </w:p>
    <w:p>
      <w:pPr>
        <w:pStyle w:val="ListBullet"/>
      </w:pPr>
      <w:r>
        <w:t>Quality states should be visible without opening developer tools.</w:t>
      </w:r>
    </w:p>
    <w:p>
      <w:pPr>
        <w:pStyle w:val="ListBullet"/>
      </w:pPr>
      <w:r>
        <w:t>Dates and units must be explicit.</w:t>
      </w:r>
    </w:p>
    <w:p>
      <w:pPr>
        <w:pStyle w:val="ListBullet"/>
      </w:pPr>
      <w:r>
        <w:t>Null is displayed as unavailable, never as zero.</w:t>
      </w:r>
    </w:p>
    <w:p>
      <w:pPr>
        <w:pStyle w:val="ListBullet"/>
      </w:pPr>
      <w:r>
        <w:t>Structural classification must show the reasons that triggered it.</w:t>
      </w:r>
    </w:p>
    <w:p>
      <w:pPr>
        <w:pStyle w:val="Heading1"/>
      </w:pPr>
      <w:r>
        <w:t>13. Technology baseline</w:t>
      </w:r>
    </w:p>
    <w:p>
      <w:pPr>
        <w:pStyle w:val="Heading2"/>
      </w:pPr>
      <w:r>
        <w:t>Backend</w:t>
      </w:r>
    </w:p>
    <w:p>
      <w:pPr>
        <w:pStyle w:val="ListBullet"/>
      </w:pPr>
      <w:r>
        <w:t>Rust;</w:t>
      </w:r>
    </w:p>
    <w:p>
      <w:pPr>
        <w:pStyle w:val="ListBullet"/>
      </w:pPr>
      <w:r>
        <w:t>Axum;</w:t>
      </w:r>
    </w:p>
    <w:p>
      <w:pPr>
        <w:pStyle w:val="ListBullet"/>
      </w:pPr>
      <w:r>
        <w:t>Tokio;</w:t>
      </w:r>
    </w:p>
    <w:p>
      <w:pPr>
        <w:pStyle w:val="ListBullet"/>
      </w:pPr>
      <w:r>
        <w:t>Serde;</w:t>
      </w:r>
    </w:p>
    <w:p>
      <w:pPr>
        <w:pStyle w:val="ListBullet"/>
      </w:pPr>
      <w:r>
        <w:t>Reqwest;</w:t>
      </w:r>
    </w:p>
    <w:p>
      <w:pPr>
        <w:pStyle w:val="ListBullet"/>
      </w:pPr>
      <w:r>
        <w:t>SQLx;</w:t>
      </w:r>
    </w:p>
    <w:p>
      <w:pPr>
        <w:pStyle w:val="ListBullet"/>
      </w:pPr>
      <w:r>
        <w:t>PostgreSQL;</w:t>
      </w:r>
    </w:p>
    <w:p>
      <w:pPr>
        <w:pStyle w:val="ListBullet"/>
      </w:pPr>
      <w:r>
        <w:t>Tower/Tower HTTP;</w:t>
      </w:r>
    </w:p>
    <w:p>
      <w:pPr>
        <w:pStyle w:val="ListBullet"/>
      </w:pPr>
      <w:r>
        <w:t>Tracing;</w:t>
      </w:r>
    </w:p>
    <w:p>
      <w:pPr>
        <w:pStyle w:val="ListBullet"/>
      </w:pPr>
      <w:r>
        <w:t>Thiserror.</w:t>
      </w:r>
    </w:p>
    <w:p>
      <w:pPr>
        <w:pStyle w:val="Heading2"/>
      </w:pPr>
      <w:r>
        <w:t>Frontend</w:t>
      </w:r>
    </w:p>
    <w:p>
      <w:pPr>
        <w:pStyle w:val="ListBullet"/>
      </w:pPr>
      <w:r>
        <w:t>SvelteKit;</w:t>
      </w:r>
    </w:p>
    <w:p>
      <w:pPr>
        <w:pStyle w:val="ListBullet"/>
      </w:pPr>
      <w:r>
        <w:t>TypeScript;</w:t>
      </w:r>
    </w:p>
    <w:p>
      <w:pPr>
        <w:pStyle w:val="ListBullet"/>
      </w:pPr>
      <w:r>
        <w:t>Tailwind CSS;</w:t>
      </w:r>
    </w:p>
    <w:p>
      <w:pPr>
        <w:pStyle w:val="ListBullet"/>
      </w:pPr>
      <w:r>
        <w:t>shadcn-svelte or equivalent minimal component layer;</w:t>
      </w:r>
    </w:p>
    <w:p>
      <w:pPr>
        <w:pStyle w:val="ListBullet"/>
      </w:pPr>
      <w:r>
        <w:t>Apache ECharts;</w:t>
      </w:r>
    </w:p>
    <w:p>
      <w:pPr>
        <w:pStyle w:val="ListBullet"/>
      </w:pPr>
      <w:r>
        <w:t>optional TanStack Table if table complexity warrants it.</w:t>
      </w:r>
    </w:p>
    <w:p>
      <w:pPr>
        <w:pStyle w:val="Heading2"/>
      </w:pPr>
      <w:r>
        <w:t>Deployment</w:t>
      </w:r>
    </w:p>
    <w:p>
      <w:pPr>
        <w:pStyle w:val="ListBullet"/>
      </w:pPr>
      <w:r>
        <w:t>Docker for reproducibility;</w:t>
      </w:r>
    </w:p>
    <w:p>
      <w:pPr>
        <w:pStyle w:val="ListBullet"/>
      </w:pPr>
      <w:r>
        <w:t>PostgreSQL as the system of record;</w:t>
      </w:r>
    </w:p>
    <w:p>
      <w:pPr>
        <w:pStyle w:val="ListBullet"/>
      </w:pPr>
      <w:r>
        <w:t>one API process initially;</w:t>
      </w:r>
    </w:p>
    <w:p>
      <w:pPr>
        <w:pStyle w:val="ListBullet"/>
      </w:pPr>
      <w:r>
        <w:t>background ingestion in the same binary/process initially, separable later;</w:t>
      </w:r>
    </w:p>
    <w:p>
      <w:pPr>
        <w:pStyle w:val="ListBullet"/>
      </w:pPr>
      <w:r>
        <w:t>no Redis until measured need exists.</w:t>
      </w:r>
    </w:p>
    <w:p>
      <w:pPr>
        <w:pStyle w:val="Heading1"/>
      </w:pPr>
      <w:r>
        <w:t>14. Why Rust + SvelteKit</w:t>
      </w:r>
    </w:p>
    <w:p>
      <w:r>
        <w:t>This product is personal and long-term, so the goal is not the absolute shortest path to a three-week demo. Rust is justified because it provides a strong type system, predictable runtime behavior, excellent async/networking support, and a useful real-world learning project. SvelteKit keeps the frontend comparatively small and fast to iterate.</w:t>
      </w:r>
    </w:p>
    <w:p>
      <w:r>
        <w:t>The tradeoff is that Rust development is slower than Go for a developer already fluent in Go. The product accepts that cost because learning and long-term maintainability are part of the objective.</w:t>
      </w:r>
    </w:p>
    <w:p>
      <w:pPr>
        <w:pStyle w:val="Heading1"/>
      </w:pPr>
      <w:r>
        <w:t>15. Success criteria for M1</w:t>
      </w:r>
    </w:p>
    <w:p>
      <w:r>
        <w:t>M1 is successful when:</w:t>
      </w:r>
    </w:p>
    <w:p>
      <w:pPr>
        <w:ind w:left="0"/>
      </w:pPr>
      <w:r>
        <w:t>1. 3-5-stock feasibility spike proves units and source coverage.</w:t>
      </w:r>
    </w:p>
    <w:p>
      <w:pPr>
        <w:ind w:left="0"/>
      </w:pPr>
      <w:r>
        <w:t>2. The system can build a daily structural snapshot from real data.</w:t>
      </w:r>
    </w:p>
    <w:p>
      <w:pPr>
        <w:ind w:left="0"/>
      </w:pPr>
      <w:r>
        <w:t>3. Radar displays at least 10 real IDX securities with valid metrics.</w:t>
      </w:r>
    </w:p>
    <w:p>
      <w:pPr>
        <w:ind w:left="0"/>
      </w:pPr>
      <w:r>
        <w:t>4. Core formulas are unit-tested and deterministic.</w:t>
      </w:r>
    </w:p>
    <w:p>
      <w:pPr>
        <w:ind w:left="0"/>
      </w:pPr>
      <w:r>
        <w:t>5. Detail and compare use the same definitions as radar.</w:t>
      </w:r>
    </w:p>
    <w:p>
      <w:pPr>
        <w:ind w:left="0"/>
      </w:pPr>
      <w:r>
        <w:t>6. Source data is stored and user-facing reads do not depend on a live provider call.</w:t>
      </w:r>
    </w:p>
    <w:p>
      <w:pPr>
        <w:ind w:left="0"/>
      </w:pPr>
      <w:r>
        <w:t>7. Failed ingestion cannot corrupt or replace the previous completed snapshot.</w:t>
      </w:r>
    </w:p>
    <w:p>
      <w:pPr>
        <w:ind w:left="0"/>
      </w:pPr>
      <w:r>
        <w:t>8. Missing/invalid data remains explicit.</w:t>
      </w:r>
    </w:p>
    <w:p>
      <w:pPr>
        <w:ind w:left="0"/>
      </w:pPr>
      <w:r>
        <w:t>9. The application can be rebuilt locally from documented commands.</w:t>
      </w:r>
    </w:p>
    <w:p>
      <w:pPr>
        <w:ind w:left="0"/>
      </w:pPr>
      <w:r>
        <w:t>10. The methodology page is sufficient for another developer to reproduce the calculations.</w:t>
      </w:r>
    </w:p>
    <w:p>
      <w:pPr>
        <w:pStyle w:val="Heading1"/>
      </w:pPr>
      <w:r>
        <w:t>16. Product risks</w:t>
      </w:r>
    </w:p>
    <w:p>
      <w:pPr>
        <w:pStyle w:val="Heading2"/>
      </w:pPr>
      <w:r>
        <w:t>Data coverage risk</w:t>
      </w:r>
    </w:p>
    <w:p>
      <w:r>
        <w:t>Free-float or broker data may not cover every security or every date. Mitigation: eligibility rules and explicit missing-data states.</w:t>
      </w:r>
    </w:p>
    <w:p>
      <w:pPr>
        <w:pStyle w:val="Heading2"/>
      </w:pPr>
      <w:r>
        <w:t>Historical-point-in-time risk</w:t>
      </w:r>
    </w:p>
    <w:p>
      <w:r>
        <w:t>A current free-float snapshot must not be applied backward to old dates unless point-in-time validity is known. Mitigation: store free-float observations by as-of date and only calculate historical metrics from known valid snapshots.</w:t>
      </w:r>
    </w:p>
    <w:p>
      <w:pPr>
        <w:pStyle w:val="Heading2"/>
      </w:pPr>
      <w:r>
        <w:t>Unit mismatch risk</w:t>
      </w:r>
    </w:p>
    <w:p>
      <w:r>
        <w:t>Provider fields may use lots, shares, percentages, fractions, or currency scaling. Mitigation: M0 blocks product work until units are manually verified against sample securities.</w:t>
      </w:r>
    </w:p>
    <w:p>
      <w:pPr>
        <w:pStyle w:val="Heading2"/>
      </w:pPr>
      <w:r>
        <w:t>Interpretation risk</w:t>
      </w:r>
    </w:p>
    <w:p>
      <w:r>
        <w:t>Users may interpret concentrated broker activity as manipulation or future price direction. Mitigation: neutral language and visible methodology caveats.</w:t>
      </w:r>
    </w:p>
    <w:p>
      <w:pPr>
        <w:pStyle w:val="Heading2"/>
      </w:pPr>
      <w:r>
        <w:t>Scope risk</w:t>
      </w:r>
    </w:p>
    <w:p>
      <w:r>
        <w:t>A personal project can expand forever. Mitigation: milestones are sequential; M2 does not begin until M1 acceptance criteria pass.</w:t>
      </w:r>
    </w:p>
    <w:p>
      <w:pPr>
        <w:pStyle w:val="Heading1"/>
      </w:pPr>
      <w:r>
        <w:t>17. Product decision log</w:t>
      </w:r>
    </w:p>
    <w:p>
      <w:pPr>
        <w:pStyle w:val="ListBullet"/>
      </w:pPr>
      <w:r>
        <w:t>Generic stock score: rejected because it creates false precision and weak differentiation.</w:t>
      </w:r>
    </w:p>
    <w:p>
      <w:pPr>
        <w:pStyle w:val="ListBullet"/>
      </w:pPr>
      <w:r>
        <w:t>Stock prediction engine: rejected as an initial product because validation would dominate the project and still not guarantee useful predictions.</w:t>
      </w:r>
    </w:p>
    <w:p>
      <w:pPr>
        <w:pStyle w:val="ListBullet"/>
      </w:pPr>
      <w:r>
        <w:t>Pure anomaly detector: retained as a future module, not the core differentiator.</w:t>
      </w:r>
    </w:p>
    <w:p>
      <w:pPr>
        <w:pStyle w:val="ListBullet"/>
      </w:pPr>
      <w:r>
        <w:t>Structural liquidity: accepted as the first module.</w:t>
      </w:r>
    </w:p>
    <w:p>
      <w:pPr>
        <w:pStyle w:val="ListBullet"/>
      </w:pPr>
      <w:r>
        <w:t>Rust + SvelteKit: accepted for a long-term personal project.</w:t>
      </w:r>
    </w:p>
    <w:p>
      <w:pPr>
        <w:pStyle w:val="ListBullet"/>
      </w:pPr>
      <w:r>
        <w:t>PostgreSQL: accepted over SQLite because historical ingestion, queries, snapshots, and future modules justify a durable database from the start.</w:t>
      </w:r>
    </w:p>
    <w:p>
      <w:pPr>
        <w:pStyle w:val="ListBullet"/>
      </w:pPr>
      <w:r>
        <w:t>Redis: explicitly deferred.</w:t>
      </w:r>
    </w:p>
    <w:p>
      <w:pPr>
        <w:pStyle w:val="ListBullet"/>
      </w:pPr>
      <w:r>
        <w:t>Microservices: explicitly deferred.</w:t>
      </w:r>
    </w:p>
    <w:p>
      <w:r>
        <w:rPr>
          <w:b/>
        </w:rPr>
        <w:t>Product status:</w:t>
      </w:r>
      <w:r>
        <w:t xml:space="preserve"> frozen for M0/M1. New features belong in later milestones unless real source data invalidates the design.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SignalDesk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