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E293B"/>
          <w:sz w:val="60"/>
        </w:rPr>
        <w:t>SignalDesk</w:t>
      </w:r>
    </w:p>
    <w:p>
      <w:pPr>
        <w:jc w:val="center"/>
      </w:pPr>
      <w:r>
        <w:rPr>
          <w:color w:val="475569"/>
          <w:sz w:val="30"/>
        </w:rPr>
        <w:t>Software Requirements Specification</w:t>
      </w:r>
    </w:p>
    <w:p/>
    <w:p>
      <w:pPr>
        <w:jc w:val="center"/>
      </w:pPr>
      <w:r>
        <w:rPr>
          <w:b/>
          <w:sz w:val="22"/>
        </w:rPr>
        <w:t>Personal long-term market research system</w:t>
      </w:r>
    </w:p>
    <w:p>
      <w:pPr>
        <w:jc w:val="center"/>
      </w:pPr>
      <w:r>
        <w:t>Rust + Axum + PostgreSQL + SvelteKit</w:t>
      </w:r>
    </w:p>
    <w:p>
      <w:pPr>
        <w:jc w:val="center"/>
      </w:pPr>
      <w:r>
        <w:t>10 September 2026</w:t>
      </w:r>
    </w:p>
    <w:p>
      <w:r>
        <w:br w:type="page"/>
      </w:r>
    </w:p>
    <w:p>
      <w:r>
        <w:t xml:space="preserve">Version: 2.0  </w:t>
      </w:r>
    </w:p>
    <w:p>
      <w:r>
        <w:t xml:space="preserve">Implementation baseline: Rust + Axum + PostgreSQL + SvelteKit  </w:t>
      </w:r>
    </w:p>
    <w:p>
      <w:r>
        <w:t>Scope of this SRS: M0 Data Feasibility and M1 Structural Liquidity MVP</w:t>
      </w:r>
    </w:p>
    <w:p>
      <w:pPr>
        <w:pStyle w:val="Heading1"/>
      </w:pPr>
      <w:r>
        <w:t>1. Purpose</w:t>
      </w:r>
    </w:p>
    <w:p>
      <w:r>
        <w:t>This SRS defines implementable requirements for SignalDesk's first production milestone. It covers source ingestion, normalized storage, structural-liquidity calculations, snapshot generation, REST APIs, frontend behavior, data-quality handling, security, observability, and tests.</w:t>
      </w:r>
    </w:p>
    <w:p>
      <w:pPr>
        <w:pStyle w:val="Heading1"/>
      </w:pPr>
      <w:r>
        <w:t>2. System scope</w:t>
      </w:r>
    </w:p>
    <w:p>
      <w:r>
        <w:t>The system shall provide:</w:t>
      </w:r>
    </w:p>
    <w:p>
      <w:pPr>
        <w:ind w:left="0"/>
      </w:pPr>
      <w:r>
        <w:t>1. a data-feasibility CLI or command;</w:t>
      </w:r>
    </w:p>
    <w:p>
      <w:pPr>
        <w:ind w:left="0"/>
      </w:pPr>
      <w:r>
        <w:t>2. persistent provider ingestion;</w:t>
      </w:r>
    </w:p>
    <w:p>
      <w:pPr>
        <w:ind w:left="0"/>
      </w:pPr>
      <w:r>
        <w:t>3. normalized daily market observations;</w:t>
      </w:r>
    </w:p>
    <w:p>
      <w:pPr>
        <w:ind w:left="0"/>
      </w:pPr>
      <w:r>
        <w:t>4. free-float snapshots;</w:t>
      </w:r>
    </w:p>
    <w:p>
      <w:pPr>
        <w:ind w:left="0"/>
      </w:pPr>
      <w:r>
        <w:t>5. broker-participation observations;</w:t>
      </w:r>
    </w:p>
    <w:p>
      <w:pPr>
        <w:ind w:left="0"/>
      </w:pPr>
      <w:r>
        <w:t>6. foreign-flow observations;</w:t>
      </w:r>
    </w:p>
    <w:p>
      <w:pPr>
        <w:ind w:left="0"/>
      </w:pPr>
      <w:r>
        <w:t>7. deterministic structural metrics;</w:t>
      </w:r>
    </w:p>
    <w:p>
      <w:pPr>
        <w:ind w:left="0"/>
      </w:pPr>
      <w:r>
        <w:t>8. versioned classifications;</w:t>
      </w:r>
    </w:p>
    <w:p>
      <w:pPr>
        <w:ind w:left="0"/>
      </w:pPr>
      <w:r>
        <w:t>9. radar, detail, compare, and methodology APIs;</w:t>
      </w:r>
    </w:p>
    <w:p>
      <w:pPr>
        <w:ind w:left="0"/>
      </w:pPr>
      <w:r>
        <w:t>10. SvelteKit pages consuming only SignalDesk APIs;</w:t>
      </w:r>
    </w:p>
    <w:p>
      <w:pPr>
        <w:ind w:left="0"/>
      </w:pPr>
      <w:r>
        <w:t>11. historical completed snapshots;</w:t>
      </w:r>
    </w:p>
    <w:p>
      <w:pPr>
        <w:ind w:left="0"/>
      </w:pPr>
      <w:r>
        <w:t>12. explicit stale/missing/invalid data states.</w:t>
      </w:r>
    </w:p>
    <w:p>
      <w:pPr>
        <w:pStyle w:val="Heading1"/>
      </w:pPr>
      <w:r>
        <w:t>3. Technology requirements</w:t>
      </w:r>
    </w:p>
    <w:p>
      <w:pPr>
        <w:pStyle w:val="Heading2"/>
      </w:pPr>
      <w:r>
        <w:t>Backend</w:t>
      </w:r>
    </w:p>
    <w:p>
      <w:pPr>
        <w:pStyle w:val="ListBullet"/>
      </w:pPr>
      <w:r>
        <w:t>Rust stable toolchain.</w:t>
      </w:r>
    </w:p>
    <w:p>
      <w:pPr>
        <w:pStyle w:val="ListBullet"/>
      </w:pPr>
      <w:r>
        <w:t>Axum for HTTP routing.</w:t>
      </w:r>
    </w:p>
    <w:p>
      <w:pPr>
        <w:pStyle w:val="ListBullet"/>
      </w:pPr>
      <w:r>
        <w:t>Tokio for async runtime.</w:t>
      </w:r>
    </w:p>
    <w:p>
      <w:pPr>
        <w:pStyle w:val="ListBullet"/>
      </w:pPr>
      <w:r>
        <w:t>Serde/serde_json for serialization.</w:t>
      </w:r>
    </w:p>
    <w:p>
      <w:pPr>
        <w:pStyle w:val="ListBullet"/>
      </w:pPr>
      <w:r>
        <w:t>Reqwest for external HTTP.</w:t>
      </w:r>
    </w:p>
    <w:p>
      <w:pPr>
        <w:pStyle w:val="ListBullet"/>
      </w:pPr>
      <w:r>
        <w:t>SQLx for PostgreSQL access and migrations.</w:t>
      </w:r>
    </w:p>
    <w:p>
      <w:pPr>
        <w:pStyle w:val="ListBullet"/>
      </w:pPr>
      <w:r>
        <w:t>Tower/Tower HTTP for middleware.</w:t>
      </w:r>
    </w:p>
    <w:p>
      <w:pPr>
        <w:pStyle w:val="ListBullet"/>
      </w:pPr>
      <w:r>
        <w:t>tracing/tracing-subscriber for structured logs.</w:t>
      </w:r>
    </w:p>
    <w:p>
      <w:pPr>
        <w:pStyle w:val="ListBullet"/>
      </w:pPr>
      <w:r>
        <w:t>thiserror for typed internal errors.</w:t>
      </w:r>
    </w:p>
    <w:p>
      <w:pPr>
        <w:pStyle w:val="ListBullet"/>
      </w:pPr>
      <w:r>
        <w:t>UUIDs for public/internal snapshot identifiers where appropriate.</w:t>
      </w:r>
    </w:p>
    <w:p>
      <w:pPr>
        <w:pStyle w:val="Heading2"/>
      </w:pPr>
      <w:r>
        <w:t>Frontend</w:t>
      </w:r>
    </w:p>
    <w:p>
      <w:pPr>
        <w:pStyle w:val="ListBullet"/>
      </w:pPr>
      <w:r>
        <w:t>SvelteKit + TypeScript.</w:t>
      </w:r>
    </w:p>
    <w:p>
      <w:pPr>
        <w:pStyle w:val="ListBullet"/>
      </w:pPr>
      <w:r>
        <w:t>Tailwind CSS.</w:t>
      </w:r>
    </w:p>
    <w:p>
      <w:pPr>
        <w:pStyle w:val="ListBullet"/>
      </w:pPr>
      <w:r>
        <w:t>shadcn-svelte or equivalent accessible primitives.</w:t>
      </w:r>
    </w:p>
    <w:p>
      <w:pPr>
        <w:pStyle w:val="ListBullet"/>
      </w:pPr>
      <w:r>
        <w:t>Apache ECharts for charts.</w:t>
      </w:r>
    </w:p>
    <w:p>
      <w:pPr>
        <w:pStyle w:val="ListBullet"/>
      </w:pPr>
      <w:r>
        <w:t>Frontend must not call external market-data providers directly.</w:t>
      </w:r>
    </w:p>
    <w:p>
      <w:pPr>
        <w:pStyle w:val="Heading2"/>
      </w:pPr>
      <w:r>
        <w:t>Database</w:t>
      </w:r>
    </w:p>
    <w:p>
      <w:pPr>
        <w:pStyle w:val="ListBullet"/>
      </w:pPr>
      <w:r>
        <w:t>PostgreSQL.</w:t>
      </w:r>
    </w:p>
    <w:p>
      <w:pPr>
        <w:pStyle w:val="ListBullet"/>
      </w:pPr>
      <w:r>
        <w:t>UTC timestamps for machine times.</w:t>
      </w:r>
    </w:p>
    <w:p>
      <w:pPr>
        <w:pStyle w:val="ListBullet"/>
      </w:pPr>
      <w:r>
        <w:t>IDX trading date stored separately as a SQL DATE.</w:t>
      </w:r>
    </w:p>
    <w:p>
      <w:pPr>
        <w:pStyle w:val="ListBullet"/>
      </w:pPr>
      <w:r>
        <w:t>Raw provider payloads may be stored as JSONB for traceability.</w:t>
      </w:r>
    </w:p>
    <w:p>
      <w:pPr>
        <w:pStyle w:val="Heading1"/>
      </w:pPr>
      <w:r>
        <w:t>4. High-level system context</w:t>
      </w:r>
    </w:p>
    <w:p>
      <w:pPr>
        <w:spacing w:before="80" w:after="140"/>
        <w:ind w:left="317" w:right="144"/>
      </w:pPr>
      <w:r>
        <w:rPr>
          <w:rFonts w:ascii="DejaVu Sans Mono" w:hAnsi="DejaVu Sans Mono"/>
          <w:sz w:val="16"/>
        </w:rPr>
        <w:t>Browser</w:t>
        <w:br/>
        <w:t xml:space="preserve">  |</w:t>
        <w:br/>
        <w:t xml:space="preserve">  v</w:t>
        <w:br/>
        <w:t>SvelteKit Web</w:t>
        <w:br/>
        <w:t xml:space="preserve">  |</w:t>
        <w:br/>
        <w:t xml:space="preserve">  | REST/JSON</w:t>
        <w:br/>
        <w:t xml:space="preserve">  v</w:t>
        <w:br/>
        <w:t>Rust/Axum API</w:t>
        <w:br/>
        <w:t xml:space="preserve">  |</w:t>
        <w:br/>
        <w:t xml:space="preserve">  +--&gt; Application Services</w:t>
        <w:br/>
        <w:t xml:space="preserve">  |      +--&gt; Radar Builder</w:t>
        <w:br/>
        <w:t xml:space="preserve">  |      +--&gt; Structural Analytics</w:t>
        <w:br/>
        <w:t xml:space="preserve">  |      +--&gt; Ingestion Service</w:t>
        <w:br/>
        <w:t xml:space="preserve">  |</w:t>
        <w:br/>
        <w:t xml:space="preserve">  +--&gt; PostgreSQL</w:t>
        <w:br/>
        <w:t xml:space="preserve">  |</w:t>
        <w:br/>
        <w:t xml:space="preserve">  +--&gt; Provider Adapter (Sectors first)</w:t>
        <w:br/>
        <w:t xml:space="preserve">            |</w:t>
        <w:br/>
        <w:t xml:space="preserve">            v</w:t>
        <w:br/>
        <w:t xml:space="preserve">       External REST API</w:t>
      </w:r>
    </w:p>
    <w:p>
      <w:pPr>
        <w:pStyle w:val="Heading1"/>
      </w:pPr>
      <w:r>
        <w:t>5. Actors</w:t>
      </w:r>
    </w:p>
    <w:p>
      <w:pPr>
        <w:pStyle w:val="Heading2"/>
      </w:pPr>
      <w:r>
        <w:t>A1 - Research user</w:t>
      </w:r>
    </w:p>
    <w:p>
      <w:r>
        <w:t>Reads radar, detail, compare, methodology, and historical data.</w:t>
      </w:r>
    </w:p>
    <w:p>
      <w:pPr>
        <w:pStyle w:val="Heading2"/>
      </w:pPr>
      <w:r>
        <w:t>A2 - Operator</w:t>
      </w:r>
    </w:p>
    <w:p>
      <w:r>
        <w:t>Runs/monitors ingestion, refreshes a trading date, and inspects data quality.</w:t>
      </w:r>
    </w:p>
    <w:p>
      <w:pPr>
        <w:pStyle w:val="Heading2"/>
      </w:pPr>
      <w:r>
        <w:t>A3 - External data provider</w:t>
      </w:r>
    </w:p>
    <w:p>
      <w:r>
        <w:t>Supplies market, free-float, broker, and foreign-flow data.</w:t>
      </w:r>
    </w:p>
    <w:p>
      <w:pPr>
        <w:pStyle w:val="Heading1"/>
      </w:pPr>
      <w:r>
        <w:t>6. Domain definitions</w:t>
      </w:r>
    </w:p>
    <w:p>
      <w:pPr>
        <w:pStyle w:val="ListBullet"/>
      </w:pPr>
      <w:r>
        <w:rPr>
          <w:b/>
        </w:rPr>
        <w:t>Instrument</w:t>
      </w:r>
      <w:r>
        <w:t>: one listed security identified by a canonical SignalDesk symbol.</w:t>
      </w:r>
    </w:p>
    <w:p>
      <w:pPr>
        <w:pStyle w:val="ListBullet"/>
      </w:pPr>
      <w:r>
        <w:rPr>
          <w:b/>
        </w:rPr>
        <w:t>Trading date</w:t>
      </w:r>
      <w:r>
        <w:t xml:space="preserve">: IDX market date stored as </w:t>
      </w:r>
      <w:r>
        <w:rPr>
          <w:rFonts w:ascii="DejaVu Sans Mono" w:hAnsi="DejaVu Sans Mono"/>
          <w:sz w:val="17"/>
        </w:rPr>
        <w:t>YYYY-MM-DD</w:t>
      </w:r>
      <w:r>
        <w:t>.</w:t>
      </w:r>
    </w:p>
    <w:p>
      <w:pPr>
        <w:pStyle w:val="ListBullet"/>
      </w:pPr>
      <w:r>
        <w:rPr>
          <w:b/>
        </w:rPr>
        <w:t>Source fetch</w:t>
      </w:r>
      <w:r>
        <w:t>: one provider request plus response metadata.</w:t>
      </w:r>
    </w:p>
    <w:p>
      <w:pPr>
        <w:pStyle w:val="ListBullet"/>
      </w:pPr>
      <w:r>
        <w:rPr>
          <w:b/>
        </w:rPr>
        <w:t>Normalized observation</w:t>
      </w:r>
      <w:r>
        <w:t>: provider-independent domain data derived from one or more source fetches.</w:t>
      </w:r>
    </w:p>
    <w:p>
      <w:pPr>
        <w:pStyle w:val="ListBullet"/>
      </w:pPr>
      <w:r>
        <w:rPr>
          <w:b/>
        </w:rPr>
        <w:t>Metric snapshot</w:t>
      </w:r>
      <w:r>
        <w:t>: immutable derived metrics for one instrument and trading date using a specific metric version.</w:t>
      </w:r>
    </w:p>
    <w:p>
      <w:pPr>
        <w:pStyle w:val="ListBullet"/>
      </w:pPr>
      <w:r>
        <w:rPr>
          <w:b/>
        </w:rPr>
        <w:t>Radar snapshot</w:t>
      </w:r>
      <w:r>
        <w:t>: immutable set of selected instruments and classifications for one trading date and methodology version.</w:t>
      </w:r>
    </w:p>
    <w:p>
      <w:pPr>
        <w:pStyle w:val="ListBullet"/>
      </w:pPr>
      <w:r>
        <w:rPr>
          <w:b/>
        </w:rPr>
        <w:t>Free-float ratio</w:t>
      </w:r>
      <w:r>
        <w:t>: decimal fraction from 0 to 1 inclusive.</w:t>
      </w:r>
    </w:p>
    <w:p>
      <w:pPr>
        <w:pStyle w:val="ListBullet"/>
      </w:pPr>
      <w:r>
        <w:rPr>
          <w:b/>
        </w:rPr>
        <w:t>Gross broker participation</w:t>
      </w:r>
      <w:r>
        <w:t>: broker buy value + broker sell value.</w:t>
      </w:r>
    </w:p>
    <w:p>
      <w:pPr>
        <w:pStyle w:val="Heading1"/>
      </w:pPr>
      <w:r>
        <w:t>7. Functional requirements</w:t>
      </w:r>
    </w:p>
    <w:p>
      <w:pPr>
        <w:pStyle w:val="Heading2"/>
      </w:pPr>
      <w:r>
        <w:t>FR-001 Health</w:t>
      </w:r>
    </w:p>
    <w:p>
      <w:r>
        <w:rPr>
          <w:rFonts w:ascii="DejaVu Sans Mono" w:hAnsi="DejaVu Sans Mono"/>
          <w:sz w:val="17"/>
        </w:rPr>
        <w:t>GET /api/v1/health</w:t>
      </w:r>
      <w:r>
        <w:t xml:space="preserve"> shall report API and database health without contacting the external provider.</w:t>
      </w:r>
    </w:p>
    <w:p>
      <w:r>
        <w:t>Acceptance:</w:t>
      </w:r>
    </w:p>
    <w:p>
      <w:pPr>
        <w:pStyle w:val="ListBullet"/>
      </w:pPr>
      <w:r>
        <w:t>returns HTTP 200 when API and DB are healthy;</w:t>
      </w:r>
    </w:p>
    <w:p>
      <w:pPr>
        <w:pStyle w:val="ListBullet"/>
      </w:pPr>
      <w:r>
        <w:t>returns structured component status;</w:t>
      </w:r>
    </w:p>
    <w:p>
      <w:pPr>
        <w:pStyle w:val="ListBullet"/>
      </w:pPr>
      <w:r>
        <w:t>does not trigger ingestion.</w:t>
      </w:r>
    </w:p>
    <w:p>
      <w:pPr>
        <w:pStyle w:val="Heading2"/>
      </w:pPr>
      <w:r>
        <w:t>FR-002 Instrument catalog</w:t>
      </w:r>
    </w:p>
    <w:p>
      <w:r>
        <w:t>The system shall maintain a normalized instrument table containing at minimum symbol, company name, sector/industry when available, listing status, and provider identifiers.</w:t>
      </w:r>
    </w:p>
    <w:p>
      <w:pPr>
        <w:pStyle w:val="Heading2"/>
      </w:pPr>
      <w:r>
        <w:t>FR-003 Source fetch persistence</w:t>
      </w:r>
    </w:p>
    <w:p>
      <w:r>
        <w:t>Every external fetch used for derived data shall persist:</w:t>
      </w:r>
    </w:p>
    <w:p>
      <w:pPr>
        <w:pStyle w:val="ListBullet"/>
      </w:pPr>
      <w:r>
        <w:t>provider;</w:t>
      </w:r>
    </w:p>
    <w:p>
      <w:pPr>
        <w:pStyle w:val="ListBullet"/>
      </w:pPr>
      <w:r>
        <w:t>endpoint category;</w:t>
      </w:r>
    </w:p>
    <w:p>
      <w:pPr>
        <w:pStyle w:val="ListBullet"/>
      </w:pPr>
      <w:r>
        <w:t>symbol if applicable;</w:t>
      </w:r>
    </w:p>
    <w:p>
      <w:pPr>
        <w:pStyle w:val="ListBullet"/>
      </w:pPr>
      <w:r>
        <w:t>requested trading/as-of date;</w:t>
      </w:r>
    </w:p>
    <w:p>
      <w:pPr>
        <w:pStyle w:val="ListBullet"/>
      </w:pPr>
      <w:r>
        <w:t>fetch timestamp;</w:t>
      </w:r>
    </w:p>
    <w:p>
      <w:pPr>
        <w:pStyle w:val="ListBullet"/>
      </w:pPr>
      <w:r>
        <w:t>HTTP status;</w:t>
      </w:r>
    </w:p>
    <w:p>
      <w:pPr>
        <w:pStyle w:val="ListBullet"/>
      </w:pPr>
      <w:r>
        <w:t>provider request identifier if available;</w:t>
      </w:r>
    </w:p>
    <w:p>
      <w:pPr>
        <w:pStyle w:val="ListBullet"/>
      </w:pPr>
      <w:r>
        <w:t>payload hash;</w:t>
      </w:r>
    </w:p>
    <w:p>
      <w:pPr>
        <w:pStyle w:val="ListBullet"/>
      </w:pPr>
      <w:r>
        <w:t>raw JSON payload when storage policy permits;</w:t>
      </w:r>
    </w:p>
    <w:p>
      <w:pPr>
        <w:pStyle w:val="ListBullet"/>
      </w:pPr>
      <w:r>
        <w:t>parse/normalization status.</w:t>
      </w:r>
    </w:p>
    <w:p>
      <w:pPr>
        <w:pStyle w:val="Heading2"/>
      </w:pPr>
      <w:r>
        <w:t>FR-004 Data-feasibility command</w:t>
      </w:r>
    </w:p>
    <w:p>
      <w:r>
        <w:t>The application shall expose a CLI or operator command that accepts 3-5 symbols and a trading date, fetches required source data, validates units/coverage, calculates all M1 metrics, and outputs JSON plus a data-quality report.</w:t>
      </w:r>
    </w:p>
    <w:p>
      <w:r>
        <w:t>The command shall report external call count and cache hits.</w:t>
      </w:r>
    </w:p>
    <w:p>
      <w:pPr>
        <w:pStyle w:val="Heading2"/>
      </w:pPr>
      <w:r>
        <w:t>FR-005 Cache-first provider access</w:t>
      </w:r>
    </w:p>
    <w:p>
      <w:r>
        <w:t>Provider client calls shall first check persisted source data unless explicitly run in force-refresh mode.</w:t>
      </w:r>
    </w:p>
    <w:p>
      <w:pPr>
        <w:pStyle w:val="Heading2"/>
      </w:pPr>
      <w:r>
        <w:t>FR-006 Market observation ingestion</w:t>
      </w:r>
    </w:p>
    <w:p>
      <w:r>
        <w:t>For each eligible instrument/trading date, persist:</w:t>
      </w:r>
    </w:p>
    <w:p>
      <w:pPr>
        <w:pStyle w:val="ListBullet"/>
      </w:pPr>
      <w:r>
        <w:t>close price;</w:t>
      </w:r>
    </w:p>
    <w:p>
      <w:pPr>
        <w:pStyle w:val="ListBullet"/>
      </w:pPr>
      <w:r>
        <w:t>traded shares/volume;</w:t>
      </w:r>
    </w:p>
    <w:p>
      <w:pPr>
        <w:pStyle w:val="ListBullet"/>
      </w:pPr>
      <w:r>
        <w:t>traded value;</w:t>
      </w:r>
    </w:p>
    <w:p>
      <w:pPr>
        <w:pStyle w:val="ListBullet"/>
      </w:pPr>
      <w:r>
        <w:t>market capitalization;</w:t>
      </w:r>
    </w:p>
    <w:p>
      <w:pPr>
        <w:pStyle w:val="ListBullet"/>
      </w:pPr>
      <w:r>
        <w:t>shares outstanding when available;</w:t>
      </w:r>
    </w:p>
    <w:p>
      <w:pPr>
        <w:pStyle w:val="ListBullet"/>
      </w:pPr>
      <w:r>
        <w:t>daily return when source-derived or calculate from validated closes;</w:t>
      </w:r>
    </w:p>
    <w:p>
      <w:pPr>
        <w:pStyle w:val="ListBullet"/>
      </w:pPr>
      <w:r>
        <w:t>source reference(s).</w:t>
      </w:r>
    </w:p>
    <w:p>
      <w:pPr>
        <w:pStyle w:val="Heading2"/>
      </w:pPr>
      <w:r>
        <w:t>FR-007 Free-float ingestion</w:t>
      </w:r>
    </w:p>
    <w:p>
      <w:r>
        <w:t xml:space="preserve">Persist free-float ratio with an explicit </w:t>
      </w:r>
      <w:r>
        <w:rPr>
          <w:rFonts w:ascii="DejaVu Sans Mono" w:hAnsi="DejaVu Sans Mono"/>
          <w:sz w:val="17"/>
        </w:rPr>
        <w:t>as_of_date</w:t>
      </w:r>
      <w:r>
        <w:t xml:space="preserve"> and source reference.</w:t>
      </w:r>
    </w:p>
    <w:p>
      <w:r>
        <w:t>The system shall not silently apply a current free-float ratio to older dates.</w:t>
      </w:r>
    </w:p>
    <w:p>
      <w:pPr>
        <w:pStyle w:val="Heading2"/>
      </w:pPr>
      <w:r>
        <w:t>FR-008 Broker activity ingestion</w:t>
      </w:r>
    </w:p>
    <w:p>
      <w:r>
        <w:t>Persist broker-level buy/sell values for an instrument/trading date.</w:t>
      </w:r>
    </w:p>
    <w:p>
      <w:r>
        <w:t>Rows shall retain the provider broker code. Broker code must not be relabeled as investor identity.</w:t>
      </w:r>
    </w:p>
    <w:p>
      <w:pPr>
        <w:pStyle w:val="Heading2"/>
      </w:pPr>
      <w:r>
        <w:t>FR-009 Foreign-flow ingestion</w:t>
      </w:r>
    </w:p>
    <w:p>
      <w:r>
        <w:t>Persist net foreign flow for an instrument/trading date with explicit unit and source metadata.</w:t>
      </w:r>
    </w:p>
    <w:p>
      <w:pPr>
        <w:pStyle w:val="Heading2"/>
      </w:pPr>
      <w:r>
        <w:t>FR-010 Free-float market capitalization</w:t>
      </w:r>
    </w:p>
    <w:p>
      <w:r>
        <w:t>Calculate:</w:t>
      </w:r>
    </w:p>
    <w:p>
      <w:r>
        <w:rPr>
          <w:rFonts w:ascii="DejaVu Sans Mono" w:hAnsi="DejaVu Sans Mono"/>
          <w:sz w:val="17"/>
        </w:rPr>
        <w:t>free_float_mcap = market_cap * free_float_ratio</w:t>
      </w:r>
    </w:p>
    <w:p>
      <w:r>
        <w:t>Validation:</w:t>
      </w:r>
    </w:p>
    <w:p>
      <w:pPr>
        <w:pStyle w:val="ListBullet"/>
      </w:pPr>
      <w:r>
        <w:t>market cap &gt; 0;</w:t>
      </w:r>
    </w:p>
    <w:p>
      <w:pPr>
        <w:pStyle w:val="ListBullet"/>
      </w:pPr>
      <w:r>
        <w:t xml:space="preserve">free-float ratio in </w:t>
      </w:r>
      <w:r>
        <w:rPr>
          <w:rFonts w:ascii="DejaVu Sans Mono" w:hAnsi="DejaVu Sans Mono"/>
          <w:sz w:val="17"/>
        </w:rPr>
        <w:t>(0, 1]</w:t>
      </w:r>
      <w:r>
        <w:t>;</w:t>
      </w:r>
    </w:p>
    <w:p>
      <w:pPr>
        <w:pStyle w:val="ListBullet"/>
      </w:pPr>
      <w:r>
        <w:t>dates compatible under the configured point-in-time policy.</w:t>
      </w:r>
    </w:p>
    <w:p>
      <w:r>
        <w:t>If validation fails, result is null plus a reason code.</w:t>
      </w:r>
    </w:p>
    <w:p>
      <w:pPr>
        <w:pStyle w:val="Heading2"/>
      </w:pPr>
      <w:r>
        <w:t>FR-011 Free-float shares</w:t>
      </w:r>
    </w:p>
    <w:p>
      <w:r>
        <w:t>Preferred:</w:t>
      </w:r>
    </w:p>
    <w:p>
      <w:r>
        <w:rPr>
          <w:rFonts w:ascii="DejaVu Sans Mono" w:hAnsi="DejaVu Sans Mono"/>
          <w:sz w:val="17"/>
        </w:rPr>
        <w:t>free_float_shares = shares_outstanding * free_float_ratio</w:t>
      </w:r>
    </w:p>
    <w:p>
      <w:r>
        <w:t>Fallback when shares outstanding is unavailable and market cap/close are validated:</w:t>
      </w:r>
    </w:p>
    <w:p>
      <w:r>
        <w:rPr>
          <w:rFonts w:ascii="DejaVu Sans Mono" w:hAnsi="DejaVu Sans Mono"/>
          <w:sz w:val="17"/>
        </w:rPr>
        <w:t>estimated_shares = market_cap / close</w:t>
      </w:r>
    </w:p>
    <w:p>
      <w:r>
        <w:rPr>
          <w:rFonts w:ascii="DejaVu Sans Mono" w:hAnsi="DejaVu Sans Mono"/>
          <w:sz w:val="17"/>
        </w:rPr>
        <w:t>free_float_shares = estimated_shares * free_float_ratio</w:t>
      </w:r>
    </w:p>
    <w:p>
      <w:r>
        <w:t xml:space="preserve">Fallback result must set </w:t>
      </w:r>
      <w:r>
        <w:rPr>
          <w:rFonts w:ascii="DejaVu Sans Mono" w:hAnsi="DejaVu Sans Mono"/>
          <w:sz w:val="17"/>
        </w:rPr>
        <w:t>is_estimated = true</w:t>
      </w:r>
      <w:r>
        <w:t>.</w:t>
      </w:r>
    </w:p>
    <w:p>
      <w:pPr>
        <w:pStyle w:val="Heading2"/>
      </w:pPr>
      <w:r>
        <w:t>FR-012 Float turnover</w:t>
      </w:r>
    </w:p>
    <w:p>
      <w:r>
        <w:t>Preferred:</w:t>
      </w:r>
    </w:p>
    <w:p>
      <w:r>
        <w:rPr>
          <w:rFonts w:ascii="DejaVu Sans Mono" w:hAnsi="DejaVu Sans Mono"/>
          <w:sz w:val="17"/>
        </w:rPr>
        <w:t>float_turnover = traded_shares / free_float_shares</w:t>
      </w:r>
    </w:p>
    <w:p>
      <w:r>
        <w:t>Secondary metric:</w:t>
      </w:r>
    </w:p>
    <w:p>
      <w:r>
        <w:rPr>
          <w:rFonts w:ascii="DejaVu Sans Mono" w:hAnsi="DejaVu Sans Mono"/>
          <w:sz w:val="17"/>
        </w:rPr>
        <w:t>float_value_turnover = traded_value / free_float_mcap</w:t>
      </w:r>
    </w:p>
    <w:p>
      <w:r>
        <w:t>The two metrics must remain separately named. The UI must never display one under the other's label.</w:t>
      </w:r>
    </w:p>
    <w:p>
      <w:pPr>
        <w:pStyle w:val="Heading2"/>
      </w:pPr>
      <w:r>
        <w:t>FR-013 Broker normalization</w:t>
      </w:r>
    </w:p>
    <w:p>
      <w:r>
        <w:t>For each broker row:</w:t>
      </w:r>
    </w:p>
    <w:p>
      <w:r>
        <w:rPr>
          <w:rFonts w:ascii="DejaVu Sans Mono" w:hAnsi="DejaVu Sans Mono"/>
          <w:sz w:val="17"/>
        </w:rPr>
        <w:t>gross_i = buy_value_i + sell_value_i</w:t>
      </w:r>
    </w:p>
    <w:p>
      <w:r>
        <w:t>Rules:</w:t>
      </w:r>
    </w:p>
    <w:p>
      <w:pPr>
        <w:pStyle w:val="ListBullet"/>
      </w:pPr>
      <w:r>
        <w:t>negative source values are invalid unless provider semantics explicitly require them;</w:t>
      </w:r>
    </w:p>
    <w:p>
      <w:pPr>
        <w:pStyle w:val="ListBullet"/>
      </w:pPr>
      <w:r>
        <w:t>rows with both values zero are excluded from concentration metrics;</w:t>
      </w:r>
    </w:p>
    <w:p>
      <w:pPr>
        <w:pStyle w:val="ListBullet"/>
      </w:pPr>
      <w:r>
        <w:t>units must be normalized before summing.</w:t>
      </w:r>
    </w:p>
    <w:p>
      <w:pPr>
        <w:pStyle w:val="Heading2"/>
      </w:pPr>
      <w:r>
        <w:t>FR-014 Broker HHI</w:t>
      </w:r>
    </w:p>
    <w:p>
      <w:r>
        <w:t>For positive gross participation:</w:t>
      </w:r>
    </w:p>
    <w:p>
      <w:r>
        <w:rPr>
          <w:rFonts w:ascii="DejaVu Sans Mono" w:hAnsi="DejaVu Sans Mono"/>
          <w:sz w:val="17"/>
        </w:rPr>
        <w:t>p_i = gross_i / sum(gross_j)</w:t>
      </w:r>
    </w:p>
    <w:p>
      <w:r>
        <w:rPr>
          <w:rFonts w:ascii="DejaVu Sans Mono" w:hAnsi="DejaVu Sans Mono"/>
          <w:sz w:val="17"/>
        </w:rPr>
        <w:t>hhi = sum(p_i ^ 2)</w:t>
      </w:r>
    </w:p>
    <w:p>
      <w:r>
        <w:t xml:space="preserve">Valid range: </w:t>
      </w:r>
      <w:r>
        <w:rPr>
          <w:rFonts w:ascii="DejaVu Sans Mono" w:hAnsi="DejaVu Sans Mono"/>
          <w:sz w:val="17"/>
        </w:rPr>
        <w:t>(0, 1]</w:t>
      </w:r>
      <w:r>
        <w:t>.</w:t>
      </w:r>
    </w:p>
    <w:p>
      <w:pPr>
        <w:pStyle w:val="Heading2"/>
      </w:pPr>
      <w:r>
        <w:t>FR-015 Effective broker count</w:t>
      </w:r>
    </w:p>
    <w:p>
      <w:r>
        <w:rPr>
          <w:rFonts w:ascii="DejaVu Sans Mono" w:hAnsi="DejaVu Sans Mono"/>
          <w:sz w:val="17"/>
        </w:rPr>
        <w:t>effective_brokers = 1 / hhi</w:t>
      </w:r>
    </w:p>
    <w:p>
      <w:r>
        <w:t xml:space="preserve">For valid observations, result must be within numeric tolerance of </w:t>
      </w:r>
      <w:r>
        <w:rPr>
          <w:rFonts w:ascii="DejaVu Sans Mono" w:hAnsi="DejaVu Sans Mono"/>
          <w:sz w:val="17"/>
        </w:rPr>
        <w:t>[1, raw_active_broker_count]</w:t>
      </w:r>
      <w:r>
        <w:t>.</w:t>
      </w:r>
    </w:p>
    <w:p>
      <w:pPr>
        <w:pStyle w:val="Heading2"/>
      </w:pPr>
      <w:r>
        <w:t>FR-016 CR5</w:t>
      </w:r>
    </w:p>
    <w:p>
      <w:r>
        <w:t>Sort brokers by gross participation descending.</w:t>
      </w:r>
    </w:p>
    <w:p>
      <w:r>
        <w:rPr>
          <w:rFonts w:ascii="DejaVu Sans Mono" w:hAnsi="DejaVu Sans Mono"/>
          <w:sz w:val="17"/>
        </w:rPr>
        <w:t>cr5 = sum(top five p_i)</w:t>
      </w:r>
    </w:p>
    <w:p>
      <w:r>
        <w:t>If fewer than five brokers are active, CR5 is the sum of all active broker shares and quality metadata records the smaller broker count.</w:t>
      </w:r>
    </w:p>
    <w:p>
      <w:pPr>
        <w:pStyle w:val="Heading2"/>
      </w:pPr>
      <w:r>
        <w:t>FR-017 Foreign-flow intensity</w:t>
      </w:r>
    </w:p>
    <w:p>
      <w:r>
        <w:rPr>
          <w:rFonts w:ascii="DejaVu Sans Mono" w:hAnsi="DejaVu Sans Mono"/>
          <w:sz w:val="17"/>
        </w:rPr>
        <w:t>foreign_flow_intensity = net_foreign_flow / free_float_mcap</w:t>
      </w:r>
    </w:p>
    <w:p>
      <w:r>
        <w:t>This metric is signed context. It must not be interpreted as a probability or recommendation.</w:t>
      </w:r>
    </w:p>
    <w:p>
      <w:pPr>
        <w:pStyle w:val="Heading2"/>
      </w:pPr>
      <w:r>
        <w:t>FR-018 Metric quality state</w:t>
      </w:r>
    </w:p>
    <w:p>
      <w:r>
        <w:t>Every derived metric shall include a quality state:</w:t>
      </w:r>
    </w:p>
    <w:p>
      <w:pPr>
        <w:pStyle w:val="ListBullet"/>
      </w:pPr>
      <w:r>
        <w:rPr>
          <w:rFonts w:ascii="DejaVu Sans Mono" w:hAnsi="DejaVu Sans Mono"/>
          <w:sz w:val="17"/>
        </w:rPr>
        <w:t>ok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estimated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stale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missing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invalid</w:t>
      </w:r>
      <w:r>
        <w:t>.</w:t>
      </w:r>
    </w:p>
    <w:p>
      <w:r>
        <w:t>Optional reason codes include:</w:t>
      </w:r>
    </w:p>
    <w:p>
      <w:pPr>
        <w:pStyle w:val="ListBullet"/>
      </w:pPr>
      <w:r>
        <w:rPr>
          <w:rFonts w:ascii="DejaVu Sans Mono" w:hAnsi="DejaVu Sans Mono"/>
          <w:sz w:val="17"/>
        </w:rPr>
        <w:t>FREE_FLOAT_MISSING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FREE_FLOAT_DATE_UNUSABLE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FREE_FLOAT_OUT_OF_RANGE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MARKET_CAP_MISSING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CLOSE_INVALID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BROKER_DATA_EMPTY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BROKER_TOTAL_MISMATCH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FOREIGN_FLOW_MISSING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DATE_MISMATCH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UNIT_NOT_VERIFIED</w:t>
      </w:r>
      <w:r>
        <w:t>.</w:t>
      </w:r>
    </w:p>
    <w:p>
      <w:pPr>
        <w:pStyle w:val="Heading2"/>
      </w:pPr>
      <w:r>
        <w:t>FR-019 Classification engine</w:t>
      </w:r>
    </w:p>
    <w:p>
      <w:r>
        <w:t>Classification shall be deterministic and versioned.</w:t>
      </w:r>
    </w:p>
    <w:p>
      <w:r>
        <w:t>Initial output enum:</w:t>
      </w:r>
    </w:p>
    <w:p>
      <w:pPr>
        <w:pStyle w:val="ListBullet"/>
      </w:pPr>
      <w:r>
        <w:rPr>
          <w:rFonts w:ascii="DejaVu Sans Mono" w:hAnsi="DejaVu Sans Mono"/>
          <w:sz w:val="17"/>
        </w:rPr>
        <w:t>broad_liquidity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float_intense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broker_concentrated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concentrated_float_intense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thin_quiet</w:t>
      </w:r>
      <w:r>
        <w:t>;</w:t>
      </w:r>
    </w:p>
    <w:p>
      <w:pPr>
        <w:pStyle w:val="ListBullet"/>
      </w:pPr>
      <w:r>
        <w:rPr>
          <w:rFonts w:ascii="DejaVu Sans Mono" w:hAnsi="DejaVu Sans Mono"/>
          <w:sz w:val="17"/>
        </w:rPr>
        <w:t>insufficient_data</w:t>
      </w:r>
      <w:r>
        <w:t>.</w:t>
      </w:r>
    </w:p>
    <w:p>
      <w:r>
        <w:t>Thresholds shall be configuration/data associated with a classification version, not scattered as handler constants.</w:t>
      </w:r>
    </w:p>
    <w:p>
      <w:pPr>
        <w:pStyle w:val="Heading2"/>
      </w:pPr>
      <w:r>
        <w:t>FR-020 Classification inputs</w:t>
      </w:r>
    </w:p>
    <w:p>
      <w:r>
        <w:t>The first version may use:</w:t>
      </w:r>
    </w:p>
    <w:p>
      <w:pPr>
        <w:pStyle w:val="ListBullet"/>
      </w:pPr>
      <w:r>
        <w:t>cross-sectional float-turnover percentile;</w:t>
      </w:r>
    </w:p>
    <w:p>
      <w:pPr>
        <w:pStyle w:val="ListBullet"/>
      </w:pPr>
      <w:r>
        <w:t>cross-sectional broker-HHI percentile or effective-broker percentile;</w:t>
      </w:r>
    </w:p>
    <w:p>
      <w:pPr>
        <w:pStyle w:val="ListBullet"/>
      </w:pPr>
      <w:r>
        <w:t>minimum absolute traded-value floor;</w:t>
      </w:r>
    </w:p>
    <w:p>
      <w:pPr>
        <w:pStyle w:val="ListBullet"/>
      </w:pPr>
      <w:r>
        <w:t>minimum valid broker count;</w:t>
      </w:r>
    </w:p>
    <w:p>
      <w:pPr>
        <w:pStyle w:val="ListBullet"/>
      </w:pPr>
      <w:r>
        <w:t>metric completeness.</w:t>
      </w:r>
    </w:p>
    <w:p>
      <w:r>
        <w:t>Exact thresholds shall be frozen only after the M0 feasibility distribution is inspected.</w:t>
      </w:r>
    </w:p>
    <w:p>
      <w:pPr>
        <w:pStyle w:val="Heading2"/>
      </w:pPr>
      <w:r>
        <w:t>FR-021 Radar build</w:t>
      </w:r>
    </w:p>
    <w:p>
      <w:r>
        <w:t>An operator build for a trading date shall:</w:t>
      </w:r>
    </w:p>
    <w:p>
      <w:pPr>
        <w:ind w:left="0"/>
      </w:pPr>
      <w:r>
        <w:t>1. acquire a single-build lease for the date/version;</w:t>
      </w:r>
    </w:p>
    <w:p>
      <w:pPr>
        <w:ind w:left="0"/>
      </w:pPr>
      <w:r>
        <w:t>2. load/update instrument universe;</w:t>
      </w:r>
    </w:p>
    <w:p>
      <w:pPr>
        <w:ind w:left="0"/>
      </w:pPr>
      <w:r>
        <w:t>3. ingest required market-wide data;</w:t>
      </w:r>
    </w:p>
    <w:p>
      <w:pPr>
        <w:ind w:left="0"/>
      </w:pPr>
      <w:r>
        <w:t>4. select eligible instruments;</w:t>
      </w:r>
    </w:p>
    <w:p>
      <w:pPr>
        <w:ind w:left="0"/>
      </w:pPr>
      <w:r>
        <w:t>5. fetch/cache per-instrument enrichment with bounded concurrency;</w:t>
      </w:r>
    </w:p>
    <w:p>
      <w:pPr>
        <w:ind w:left="0"/>
      </w:pPr>
      <w:r>
        <w:t>6. normalize and validate inputs;</w:t>
      </w:r>
    </w:p>
    <w:p>
      <w:pPr>
        <w:ind w:left="0"/>
      </w:pPr>
      <w:r>
        <w:t>7. calculate metric snapshots;</w:t>
      </w:r>
    </w:p>
    <w:p>
      <w:pPr>
        <w:ind w:left="0"/>
      </w:pPr>
      <w:r>
        <w:t>8. calculate cross-sectional percentiles;</w:t>
      </w:r>
    </w:p>
    <w:p>
      <w:pPr>
        <w:ind w:left="0"/>
      </w:pPr>
      <w:r>
        <w:t>9. classify instruments;</w:t>
      </w:r>
    </w:p>
    <w:p>
      <w:pPr>
        <w:ind w:left="0"/>
      </w:pPr>
      <w:r>
        <w:t>10. persist radar snapshot and members atomically;</w:t>
      </w:r>
    </w:p>
    <w:p>
      <w:pPr>
        <w:ind w:left="0"/>
      </w:pPr>
      <w:r>
        <w:t>11. mark build completed only after all required writes succeed.</w:t>
      </w:r>
    </w:p>
    <w:p>
      <w:r>
        <w:t>A failed build must not replace the last completed snapshot.</w:t>
      </w:r>
    </w:p>
    <w:p>
      <w:pPr>
        <w:pStyle w:val="Heading2"/>
      </w:pPr>
      <w:r>
        <w:t>FR-022 Radar retrieval</w:t>
      </w:r>
    </w:p>
    <w:p>
      <w:r>
        <w:rPr>
          <w:rFonts w:ascii="DejaVu Sans Mono" w:hAnsi="DejaVu Sans Mono"/>
          <w:sz w:val="17"/>
        </w:rPr>
        <w:t>GET /api/v1/radar?date=YYYY-MM-DD</w:t>
      </w:r>
      <w:r>
        <w:t xml:space="preserve"> shall return a completed radar snapshot without calling the external provider.</w:t>
      </w:r>
    </w:p>
    <w:p>
      <w:pPr>
        <w:pStyle w:val="Heading2"/>
      </w:pPr>
      <w:r>
        <w:t>FR-023 Radar filters/sort</w:t>
      </w:r>
    </w:p>
    <w:p>
      <w:r>
        <w:t>The frontend shall support filtering and sorting described in the PRD. Null metrics must sort consistently and remain visibly unavailable.</w:t>
      </w:r>
    </w:p>
    <w:p>
      <w:pPr>
        <w:pStyle w:val="Heading2"/>
      </w:pPr>
      <w:r>
        <w:t>FR-024 Stock detail</w:t>
      </w:r>
    </w:p>
    <w:p>
      <w:r>
        <w:rPr>
          <w:rFonts w:ascii="DejaVu Sans Mono" w:hAnsi="DejaVu Sans Mono"/>
          <w:sz w:val="17"/>
        </w:rPr>
        <w:t>GET /api/v1/stocks/{symbol}?date=YYYY-MM-DD</w:t>
      </w:r>
      <w:r>
        <w:t xml:space="preserve"> shall return:</w:t>
      </w:r>
    </w:p>
    <w:p>
      <w:pPr>
        <w:pStyle w:val="ListBullet"/>
      </w:pPr>
      <w:r>
        <w:t>normalized market inputs;</w:t>
      </w:r>
    </w:p>
    <w:p>
      <w:pPr>
        <w:pStyle w:val="ListBullet"/>
      </w:pPr>
      <w:r>
        <w:t>free-float inputs;</w:t>
      </w:r>
    </w:p>
    <w:p>
      <w:pPr>
        <w:pStyle w:val="ListBullet"/>
      </w:pPr>
      <w:r>
        <w:t>structural metrics;</w:t>
      </w:r>
    </w:p>
    <w:p>
      <w:pPr>
        <w:pStyle w:val="ListBullet"/>
      </w:pPr>
      <w:r>
        <w:t>classification and triggered reasons;</w:t>
      </w:r>
    </w:p>
    <w:p>
      <w:pPr>
        <w:pStyle w:val="ListBullet"/>
      </w:pPr>
      <w:r>
        <w:t>broker participation rows or summarized distribution;</w:t>
      </w:r>
    </w:p>
    <w:p>
      <w:pPr>
        <w:pStyle w:val="ListBullet"/>
      </w:pPr>
      <w:r>
        <w:t>foreign-flow context;</w:t>
      </w:r>
    </w:p>
    <w:p>
      <w:pPr>
        <w:pStyle w:val="ListBullet"/>
      </w:pPr>
      <w:r>
        <w:t>provenance;</w:t>
      </w:r>
    </w:p>
    <w:p>
      <w:pPr>
        <w:pStyle w:val="ListBullet"/>
      </w:pPr>
      <w:r>
        <w:t>quality states.</w:t>
      </w:r>
    </w:p>
    <w:p>
      <w:pPr>
        <w:pStyle w:val="Heading2"/>
      </w:pPr>
      <w:r>
        <w:t>FR-025 Compare</w:t>
      </w:r>
    </w:p>
    <w:p>
      <w:r>
        <w:rPr>
          <w:rFonts w:ascii="DejaVu Sans Mono" w:hAnsi="DejaVu Sans Mono"/>
          <w:sz w:val="17"/>
        </w:rPr>
        <w:t>GET /api/v1/compare?symbols=A,B&amp;date=YYYY-MM-DD</w:t>
      </w:r>
      <w:r>
        <w:t xml:space="preserve"> shall accept 2-4 unique symbols and return a common metric schema.</w:t>
      </w:r>
    </w:p>
    <w:p>
      <w:pPr>
        <w:pStyle w:val="Heading2"/>
      </w:pPr>
      <w:r>
        <w:t>FR-026 Methodology</w:t>
      </w:r>
    </w:p>
    <w:p>
      <w:r>
        <w:rPr>
          <w:rFonts w:ascii="DejaVu Sans Mono" w:hAnsi="DejaVu Sans Mono"/>
          <w:sz w:val="17"/>
        </w:rPr>
        <w:t>GET /api/v1/methodology</w:t>
      </w:r>
      <w:r>
        <w:t xml:space="preserve"> shall return metric formulas, units, metric version, classification version, and plain-language caveats.</w:t>
      </w:r>
    </w:p>
    <w:p>
      <w:pPr>
        <w:pStyle w:val="Heading2"/>
      </w:pPr>
      <w:r>
        <w:t>FR-027 Admin refresh/build</w:t>
      </w:r>
    </w:p>
    <w:p>
      <w:r>
        <w:rPr>
          <w:rFonts w:ascii="DejaVu Sans Mono" w:hAnsi="DejaVu Sans Mono"/>
          <w:sz w:val="17"/>
        </w:rPr>
        <w:t>POST /api/v1/admin/build</w:t>
      </w:r>
      <w:r>
        <w:t xml:space="preserve"> shall be protected. It accepts a trading date and optional force-refresh flag.</w:t>
      </w:r>
    </w:p>
    <w:p>
      <w:r>
        <w:t>The endpoint must not allow anonymous callers to consume provider quota.</w:t>
      </w:r>
    </w:p>
    <w:p>
      <w:pPr>
        <w:pStyle w:val="Heading2"/>
      </w:pPr>
      <w:r>
        <w:t>FR-028 Historical metric retrieval</w:t>
      </w:r>
    </w:p>
    <w:p>
      <w:r>
        <w:t xml:space="preserve">Once more than one snapshot exists, </w:t>
      </w:r>
      <w:r>
        <w:rPr>
          <w:rFonts w:ascii="DejaVu Sans Mono" w:hAnsi="DejaVu Sans Mono"/>
          <w:sz w:val="17"/>
        </w:rPr>
        <w:t>GET /api/v1/stocks/{symbol}/structure-history</w:t>
      </w:r>
      <w:r>
        <w:t xml:space="preserve"> shall return only dates for which the point-in-time input policy is satisfied.</w:t>
      </w:r>
    </w:p>
    <w:p>
      <w:pPr>
        <w:pStyle w:val="Heading1"/>
      </w:pPr>
      <w:r>
        <w:t>8. Data and unit requirements</w:t>
      </w:r>
    </w:p>
    <w:p>
      <w:pPr>
        <w:pStyle w:val="Heading2"/>
      </w:pPr>
      <w:r>
        <w:t>Prices</w:t>
      </w:r>
    </w:p>
    <w:p>
      <w:r>
        <w:t>Store IDX prices in integer IDR when provider precision permits. If source uses decimals, preserve source precision in NUMERIC.</w:t>
      </w:r>
    </w:p>
    <w:p>
      <w:pPr>
        <w:pStyle w:val="Heading2"/>
      </w:pPr>
      <w:r>
        <w:t>Shares/volume</w:t>
      </w:r>
    </w:p>
    <w:p>
      <w:r>
        <w:t>Normalize to shares, not lots, before analytics. Raw unit must remain available in source metadata.</w:t>
      </w:r>
    </w:p>
    <w:p>
      <w:pPr>
        <w:pStyle w:val="Heading2"/>
      </w:pPr>
      <w:r>
        <w:t>Currency values</w:t>
      </w:r>
    </w:p>
    <w:p>
      <w:r>
        <w:t>Normalize traded value, market cap, and foreign flow to IDR. Use PostgreSQL NUMERIC or BIGINT where the provider guarantees integer IDR and range is safe.</w:t>
      </w:r>
    </w:p>
    <w:p>
      <w:pPr>
        <w:pStyle w:val="Heading2"/>
      </w:pPr>
      <w:r>
        <w:t>Ratios</w:t>
      </w:r>
    </w:p>
    <w:p>
      <w:r>
        <w:t>Store ratios as DOUBLE PRECISION for analytics plus quality/provenance. Display percentages are derived in the UI.</w:t>
      </w:r>
    </w:p>
    <w:p>
      <w:pPr>
        <w:pStyle w:val="Heading1"/>
      </w:pPr>
      <w:r>
        <w:t>9. Database requirements</w:t>
      </w:r>
    </w:p>
    <w:p>
      <w:r>
        <w:t>Minimum tables:</w:t>
      </w:r>
    </w:p>
    <w:p>
      <w:pPr>
        <w:pStyle w:val="Heading2"/>
      </w:pPr>
      <w:r>
        <w:t>instruments</w:t>
      </w:r>
    </w:p>
    <w:p>
      <w:pPr>
        <w:pStyle w:val="ListBullet"/>
      </w:pPr>
      <w:r>
        <w:rPr>
          <w:rFonts w:ascii="DejaVu Sans Mono" w:hAnsi="DejaVu Sans Mono"/>
          <w:sz w:val="17"/>
        </w:rPr>
        <w:t>id</w:t>
      </w:r>
      <w:r>
        <w:t xml:space="preserve"> UUID PK;</w:t>
      </w:r>
    </w:p>
    <w:p>
      <w:pPr>
        <w:pStyle w:val="ListBullet"/>
      </w:pPr>
      <w:r>
        <w:rPr>
          <w:rFonts w:ascii="DejaVu Sans Mono" w:hAnsi="DejaVu Sans Mono"/>
          <w:sz w:val="17"/>
        </w:rPr>
        <w:t>symbol</w:t>
      </w:r>
      <w:r>
        <w:t xml:space="preserve"> TEXT UNIQUE NOT NULL;</w:t>
      </w:r>
    </w:p>
    <w:p>
      <w:pPr>
        <w:pStyle w:val="ListBullet"/>
      </w:pPr>
      <w:r>
        <w:rPr>
          <w:rFonts w:ascii="DejaVu Sans Mono" w:hAnsi="DejaVu Sans Mono"/>
          <w:sz w:val="17"/>
        </w:rPr>
        <w:t>company_name</w:t>
      </w:r>
      <w:r>
        <w:t xml:space="preserve"> TEXT;</w:t>
      </w:r>
    </w:p>
    <w:p>
      <w:pPr>
        <w:pStyle w:val="ListBullet"/>
      </w:pPr>
      <w:r>
        <w:rPr>
          <w:rFonts w:ascii="DejaVu Sans Mono" w:hAnsi="DejaVu Sans Mono"/>
          <w:sz w:val="17"/>
        </w:rPr>
        <w:t>sector</w:t>
      </w:r>
      <w:r>
        <w:t xml:space="preserve"> TEXT NULL;</w:t>
      </w:r>
    </w:p>
    <w:p>
      <w:pPr>
        <w:pStyle w:val="ListBullet"/>
      </w:pPr>
      <w:r>
        <w:rPr>
          <w:rFonts w:ascii="DejaVu Sans Mono" w:hAnsi="DejaVu Sans Mono"/>
          <w:sz w:val="17"/>
        </w:rPr>
        <w:t>industry</w:t>
      </w:r>
      <w:r>
        <w:t xml:space="preserve"> TEXT NULL;</w:t>
      </w:r>
    </w:p>
    <w:p>
      <w:pPr>
        <w:pStyle w:val="ListBullet"/>
      </w:pPr>
      <w:r>
        <w:rPr>
          <w:rFonts w:ascii="DejaVu Sans Mono" w:hAnsi="DejaVu Sans Mono"/>
          <w:sz w:val="17"/>
        </w:rPr>
        <w:t>is_active</w:t>
      </w:r>
      <w:r>
        <w:t xml:space="preserve"> BOOLEAN;</w:t>
      </w:r>
    </w:p>
    <w:p>
      <w:pPr>
        <w:pStyle w:val="ListBullet"/>
      </w:pPr>
      <w:r>
        <w:rPr>
          <w:rFonts w:ascii="DejaVu Sans Mono" w:hAnsi="DejaVu Sans Mono"/>
          <w:sz w:val="17"/>
        </w:rPr>
        <w:t>provider_ids</w:t>
      </w:r>
      <w:r>
        <w:t xml:space="preserve"> JSONB;</w:t>
      </w:r>
    </w:p>
    <w:p>
      <w:pPr>
        <w:pStyle w:val="ListBullet"/>
      </w:pPr>
      <w:r>
        <w:t>timestamps.</w:t>
      </w:r>
    </w:p>
    <w:p>
      <w:pPr>
        <w:pStyle w:val="Heading2"/>
      </w:pPr>
      <w:r>
        <w:t>source_fetches</w:t>
      </w:r>
    </w:p>
    <w:p>
      <w:pPr>
        <w:pStyle w:val="ListBullet"/>
      </w:pPr>
      <w:r>
        <w:rPr>
          <w:rFonts w:ascii="DejaVu Sans Mono" w:hAnsi="DejaVu Sans Mono"/>
          <w:sz w:val="17"/>
        </w:rPr>
        <w:t>id</w:t>
      </w:r>
      <w:r>
        <w:t xml:space="preserve"> UUID PK;</w:t>
      </w:r>
    </w:p>
    <w:p>
      <w:pPr>
        <w:pStyle w:val="ListBullet"/>
      </w:pPr>
      <w:r>
        <w:rPr>
          <w:rFonts w:ascii="DejaVu Sans Mono" w:hAnsi="DejaVu Sans Mono"/>
          <w:sz w:val="17"/>
        </w:rPr>
        <w:t>provider</w:t>
      </w:r>
      <w:r>
        <w:t xml:space="preserve"> TEXT;</w:t>
      </w:r>
    </w:p>
    <w:p>
      <w:pPr>
        <w:pStyle w:val="ListBullet"/>
      </w:pPr>
      <w:r>
        <w:rPr>
          <w:rFonts w:ascii="DejaVu Sans Mono" w:hAnsi="DejaVu Sans Mono"/>
          <w:sz w:val="17"/>
        </w:rPr>
        <w:t>endpoint_kind</w:t>
      </w:r>
      <w:r>
        <w:t xml:space="preserve"> TEXT;</w:t>
      </w:r>
    </w:p>
    <w:p>
      <w:pPr>
        <w:pStyle w:val="ListBullet"/>
      </w:pPr>
      <w:r>
        <w:rPr>
          <w:rFonts w:ascii="DejaVu Sans Mono" w:hAnsi="DejaVu Sans Mono"/>
          <w:sz w:val="17"/>
        </w:rPr>
        <w:t>instrument_id</w:t>
      </w:r>
      <w:r>
        <w:t xml:space="preserve"> UUID NULL;</w:t>
      </w:r>
    </w:p>
    <w:p>
      <w:pPr>
        <w:pStyle w:val="ListBullet"/>
      </w:pPr>
      <w:r>
        <w:rPr>
          <w:rFonts w:ascii="DejaVu Sans Mono" w:hAnsi="DejaVu Sans Mono"/>
          <w:sz w:val="17"/>
        </w:rPr>
        <w:t>requested_date</w:t>
      </w:r>
      <w:r>
        <w:t xml:space="preserve"> DATE NULL;</w:t>
      </w:r>
    </w:p>
    <w:p>
      <w:pPr>
        <w:pStyle w:val="ListBullet"/>
      </w:pPr>
      <w:r>
        <w:rPr>
          <w:rFonts w:ascii="DejaVu Sans Mono" w:hAnsi="DejaVu Sans Mono"/>
          <w:sz w:val="17"/>
        </w:rPr>
        <w:t>fetched_at</w:t>
      </w:r>
      <w:r>
        <w:t xml:space="preserve"> TIMESTAMPTZ;</w:t>
      </w:r>
    </w:p>
    <w:p>
      <w:pPr>
        <w:pStyle w:val="ListBullet"/>
      </w:pPr>
      <w:r>
        <w:rPr>
          <w:rFonts w:ascii="DejaVu Sans Mono" w:hAnsi="DejaVu Sans Mono"/>
          <w:sz w:val="17"/>
        </w:rPr>
        <w:t>http_status</w:t>
      </w:r>
      <w:r>
        <w:t xml:space="preserve"> INT NULL;</w:t>
      </w:r>
    </w:p>
    <w:p>
      <w:pPr>
        <w:pStyle w:val="ListBullet"/>
      </w:pPr>
      <w:r>
        <w:rPr>
          <w:rFonts w:ascii="DejaVu Sans Mono" w:hAnsi="DejaVu Sans Mono"/>
          <w:sz w:val="17"/>
        </w:rPr>
        <w:t>cache_key</w:t>
      </w:r>
      <w:r>
        <w:t xml:space="preserve"> TEXT UNIQUE;</w:t>
      </w:r>
    </w:p>
    <w:p>
      <w:pPr>
        <w:pStyle w:val="ListBullet"/>
      </w:pPr>
      <w:r>
        <w:rPr>
          <w:rFonts w:ascii="DejaVu Sans Mono" w:hAnsi="DejaVu Sans Mono"/>
          <w:sz w:val="17"/>
        </w:rPr>
        <w:t>payload_hash</w:t>
      </w:r>
      <w:r>
        <w:t xml:space="preserve"> TEXT;</w:t>
      </w:r>
    </w:p>
    <w:p>
      <w:pPr>
        <w:pStyle w:val="ListBullet"/>
      </w:pPr>
      <w:r>
        <w:rPr>
          <w:rFonts w:ascii="DejaVu Sans Mono" w:hAnsi="DejaVu Sans Mono"/>
          <w:sz w:val="17"/>
        </w:rPr>
        <w:t>payload</w:t>
      </w:r>
      <w:r>
        <w:t xml:space="preserve"> JSONB NULL;</w:t>
      </w:r>
    </w:p>
    <w:p>
      <w:pPr>
        <w:pStyle w:val="ListBullet"/>
      </w:pPr>
      <w:r>
        <w:rPr>
          <w:rFonts w:ascii="DejaVu Sans Mono" w:hAnsi="DejaVu Sans Mono"/>
          <w:sz w:val="17"/>
        </w:rPr>
        <w:t>parse_status</w:t>
      </w:r>
      <w:r>
        <w:t xml:space="preserve"> TEXT;</w:t>
      </w:r>
    </w:p>
    <w:p>
      <w:pPr>
        <w:pStyle w:val="ListBullet"/>
      </w:pPr>
      <w:r>
        <w:rPr>
          <w:rFonts w:ascii="DejaVu Sans Mono" w:hAnsi="DejaVu Sans Mono"/>
          <w:sz w:val="17"/>
        </w:rPr>
        <w:t>error_code</w:t>
      </w:r>
      <w:r>
        <w:t xml:space="preserve"> TEXT NULL.</w:t>
      </w:r>
    </w:p>
    <w:p>
      <w:pPr>
        <w:pStyle w:val="Heading2"/>
      </w:pPr>
      <w:r>
        <w:t>market_daily</w:t>
      </w:r>
    </w:p>
    <w:p>
      <w:pPr>
        <w:pStyle w:val="ListBullet"/>
      </w:pPr>
      <w:r>
        <w:rPr>
          <w:rFonts w:ascii="DejaVu Sans Mono" w:hAnsi="DejaVu Sans Mono"/>
          <w:sz w:val="17"/>
        </w:rPr>
        <w:t>instrument_id</w:t>
      </w:r>
      <w:r>
        <w:t xml:space="preserve"> UUID;</w:t>
      </w:r>
    </w:p>
    <w:p>
      <w:pPr>
        <w:pStyle w:val="ListBullet"/>
      </w:pPr>
      <w:r>
        <w:rPr>
          <w:rFonts w:ascii="DejaVu Sans Mono" w:hAnsi="DejaVu Sans Mono"/>
          <w:sz w:val="17"/>
        </w:rPr>
        <w:t>trading_date</w:t>
      </w:r>
      <w:r>
        <w:t xml:space="preserve"> DATE;</w:t>
      </w:r>
    </w:p>
    <w:p>
      <w:pPr>
        <w:pStyle w:val="ListBullet"/>
      </w:pPr>
      <w:r>
        <w:rPr>
          <w:rFonts w:ascii="DejaVu Sans Mono" w:hAnsi="DejaVu Sans Mono"/>
          <w:sz w:val="17"/>
        </w:rPr>
        <w:t>close_idr</w:t>
      </w:r>
      <w:r>
        <w:t xml:space="preserve"> NUMERIC;</w:t>
      </w:r>
    </w:p>
    <w:p>
      <w:pPr>
        <w:pStyle w:val="ListBullet"/>
      </w:pPr>
      <w:r>
        <w:rPr>
          <w:rFonts w:ascii="DejaVu Sans Mono" w:hAnsi="DejaVu Sans Mono"/>
          <w:sz w:val="17"/>
        </w:rPr>
        <w:t>traded_shares</w:t>
      </w:r>
      <w:r>
        <w:t xml:space="preserve"> NUMERIC;</w:t>
      </w:r>
    </w:p>
    <w:p>
      <w:pPr>
        <w:pStyle w:val="ListBullet"/>
      </w:pPr>
      <w:r>
        <w:rPr>
          <w:rFonts w:ascii="DejaVu Sans Mono" w:hAnsi="DejaVu Sans Mono"/>
          <w:sz w:val="17"/>
        </w:rPr>
        <w:t>traded_value_idr</w:t>
      </w:r>
      <w:r>
        <w:t xml:space="preserve"> NUMERIC;</w:t>
      </w:r>
    </w:p>
    <w:p>
      <w:pPr>
        <w:pStyle w:val="ListBullet"/>
      </w:pPr>
      <w:r>
        <w:rPr>
          <w:rFonts w:ascii="DejaVu Sans Mono" w:hAnsi="DejaVu Sans Mono"/>
          <w:sz w:val="17"/>
        </w:rPr>
        <w:t>market_cap_idr</w:t>
      </w:r>
      <w:r>
        <w:t xml:space="preserve"> NUMERIC;</w:t>
      </w:r>
    </w:p>
    <w:p>
      <w:pPr>
        <w:pStyle w:val="ListBullet"/>
      </w:pPr>
      <w:r>
        <w:rPr>
          <w:rFonts w:ascii="DejaVu Sans Mono" w:hAnsi="DejaVu Sans Mono"/>
          <w:sz w:val="17"/>
        </w:rPr>
        <w:t>shares_outstanding</w:t>
      </w:r>
      <w:r>
        <w:t xml:space="preserve"> NUMERIC NULL;</w:t>
      </w:r>
    </w:p>
    <w:p>
      <w:pPr>
        <w:pStyle w:val="ListBullet"/>
      </w:pPr>
      <w:r>
        <w:rPr>
          <w:rFonts w:ascii="DejaVu Sans Mono" w:hAnsi="DejaVu Sans Mono"/>
          <w:sz w:val="17"/>
        </w:rPr>
        <w:t>source_fetch_id</w:t>
      </w:r>
      <w:r>
        <w:t xml:space="preserve"> UUID;</w:t>
      </w:r>
    </w:p>
    <w:p>
      <w:pPr>
        <w:pStyle w:val="ListBullet"/>
      </w:pPr>
      <w:r>
        <w:t xml:space="preserve">PK </w:t>
      </w:r>
      <w:r>
        <w:rPr>
          <w:rFonts w:ascii="DejaVu Sans Mono" w:hAnsi="DejaVu Sans Mono"/>
          <w:sz w:val="17"/>
        </w:rPr>
        <w:t>(instrument_id, trading_date)</w:t>
      </w:r>
      <w:r>
        <w:t>.</w:t>
      </w:r>
    </w:p>
    <w:p>
      <w:pPr>
        <w:pStyle w:val="Heading2"/>
      </w:pPr>
      <w:r>
        <w:t>free_float_snapshots</w:t>
      </w:r>
    </w:p>
    <w:p>
      <w:pPr>
        <w:pStyle w:val="ListBullet"/>
      </w:pPr>
      <w:r>
        <w:rPr>
          <w:rFonts w:ascii="DejaVu Sans Mono" w:hAnsi="DejaVu Sans Mono"/>
          <w:sz w:val="17"/>
        </w:rPr>
        <w:t>instrument_id</w:t>
      </w:r>
      <w:r>
        <w:t xml:space="preserve"> UUID;</w:t>
      </w:r>
    </w:p>
    <w:p>
      <w:pPr>
        <w:pStyle w:val="ListBullet"/>
      </w:pPr>
      <w:r>
        <w:rPr>
          <w:rFonts w:ascii="DejaVu Sans Mono" w:hAnsi="DejaVu Sans Mono"/>
          <w:sz w:val="17"/>
        </w:rPr>
        <w:t>as_of_date</w:t>
      </w:r>
      <w:r>
        <w:t xml:space="preserve"> DATE;</w:t>
      </w:r>
    </w:p>
    <w:p>
      <w:pPr>
        <w:pStyle w:val="ListBullet"/>
      </w:pPr>
      <w:r>
        <w:rPr>
          <w:rFonts w:ascii="DejaVu Sans Mono" w:hAnsi="DejaVu Sans Mono"/>
          <w:sz w:val="17"/>
        </w:rPr>
        <w:t>free_float_ratio</w:t>
      </w:r>
      <w:r>
        <w:t xml:space="preserve"> DOUBLE PRECISION;</w:t>
      </w:r>
    </w:p>
    <w:p>
      <w:pPr>
        <w:pStyle w:val="ListBullet"/>
      </w:pPr>
      <w:r>
        <w:rPr>
          <w:rFonts w:ascii="DejaVu Sans Mono" w:hAnsi="DejaVu Sans Mono"/>
          <w:sz w:val="17"/>
        </w:rPr>
        <w:t>source_fetch_id</w:t>
      </w:r>
      <w:r>
        <w:t xml:space="preserve"> UUID;</w:t>
      </w:r>
    </w:p>
    <w:p>
      <w:pPr>
        <w:pStyle w:val="ListBullet"/>
      </w:pPr>
      <w:r>
        <w:t xml:space="preserve">PK </w:t>
      </w:r>
      <w:r>
        <w:rPr>
          <w:rFonts w:ascii="DejaVu Sans Mono" w:hAnsi="DejaVu Sans Mono"/>
          <w:sz w:val="17"/>
        </w:rPr>
        <w:t>(instrument_id, as_of_date)</w:t>
      </w:r>
      <w:r>
        <w:t>.</w:t>
      </w:r>
    </w:p>
    <w:p>
      <w:pPr>
        <w:pStyle w:val="Heading2"/>
      </w:pPr>
      <w:r>
        <w:t>broker_daily</w:t>
      </w:r>
    </w:p>
    <w:p>
      <w:pPr>
        <w:pStyle w:val="ListBullet"/>
      </w:pPr>
      <w:r>
        <w:rPr>
          <w:rFonts w:ascii="DejaVu Sans Mono" w:hAnsi="DejaVu Sans Mono"/>
          <w:sz w:val="17"/>
        </w:rPr>
        <w:t>instrument_id</w:t>
      </w:r>
      <w:r>
        <w:t xml:space="preserve"> UUID;</w:t>
      </w:r>
    </w:p>
    <w:p>
      <w:pPr>
        <w:pStyle w:val="ListBullet"/>
      </w:pPr>
      <w:r>
        <w:rPr>
          <w:rFonts w:ascii="DejaVu Sans Mono" w:hAnsi="DejaVu Sans Mono"/>
          <w:sz w:val="17"/>
        </w:rPr>
        <w:t>trading_date</w:t>
      </w:r>
      <w:r>
        <w:t xml:space="preserve"> DATE;</w:t>
      </w:r>
    </w:p>
    <w:p>
      <w:pPr>
        <w:pStyle w:val="ListBullet"/>
      </w:pPr>
      <w:r>
        <w:rPr>
          <w:rFonts w:ascii="DejaVu Sans Mono" w:hAnsi="DejaVu Sans Mono"/>
          <w:sz w:val="17"/>
        </w:rPr>
        <w:t>broker_code</w:t>
      </w:r>
      <w:r>
        <w:t xml:space="preserve"> TEXT;</w:t>
      </w:r>
    </w:p>
    <w:p>
      <w:pPr>
        <w:pStyle w:val="ListBullet"/>
      </w:pPr>
      <w:r>
        <w:rPr>
          <w:rFonts w:ascii="DejaVu Sans Mono" w:hAnsi="DejaVu Sans Mono"/>
          <w:sz w:val="17"/>
        </w:rPr>
        <w:t>buy_value_idr</w:t>
      </w:r>
      <w:r>
        <w:t xml:space="preserve"> NUMERIC;</w:t>
      </w:r>
    </w:p>
    <w:p>
      <w:pPr>
        <w:pStyle w:val="ListBullet"/>
      </w:pPr>
      <w:r>
        <w:rPr>
          <w:rFonts w:ascii="DejaVu Sans Mono" w:hAnsi="DejaVu Sans Mono"/>
          <w:sz w:val="17"/>
        </w:rPr>
        <w:t>sell_value_idr</w:t>
      </w:r>
      <w:r>
        <w:t xml:space="preserve"> NUMERIC;</w:t>
      </w:r>
    </w:p>
    <w:p>
      <w:pPr>
        <w:pStyle w:val="ListBullet"/>
      </w:pPr>
      <w:r>
        <w:rPr>
          <w:rFonts w:ascii="DejaVu Sans Mono" w:hAnsi="DejaVu Sans Mono"/>
          <w:sz w:val="17"/>
        </w:rPr>
        <w:t>source_fetch_id</w:t>
      </w:r>
      <w:r>
        <w:t xml:space="preserve"> UUID;</w:t>
      </w:r>
    </w:p>
    <w:p>
      <w:pPr>
        <w:pStyle w:val="ListBullet"/>
      </w:pPr>
      <w:r>
        <w:t xml:space="preserve">PK </w:t>
      </w:r>
      <w:r>
        <w:rPr>
          <w:rFonts w:ascii="DejaVu Sans Mono" w:hAnsi="DejaVu Sans Mono"/>
          <w:sz w:val="17"/>
        </w:rPr>
        <w:t>(instrument_id, trading_date, broker_code)</w:t>
      </w:r>
      <w:r>
        <w:t>.</w:t>
      </w:r>
    </w:p>
    <w:p>
      <w:pPr>
        <w:pStyle w:val="Heading2"/>
      </w:pPr>
      <w:r>
        <w:t>foreign_flow_daily</w:t>
      </w:r>
    </w:p>
    <w:p>
      <w:pPr>
        <w:pStyle w:val="ListBullet"/>
      </w:pPr>
      <w:r>
        <w:rPr>
          <w:rFonts w:ascii="DejaVu Sans Mono" w:hAnsi="DejaVu Sans Mono"/>
          <w:sz w:val="17"/>
        </w:rPr>
        <w:t>instrument_id</w:t>
      </w:r>
      <w:r>
        <w:t xml:space="preserve"> UUID;</w:t>
      </w:r>
    </w:p>
    <w:p>
      <w:pPr>
        <w:pStyle w:val="ListBullet"/>
      </w:pPr>
      <w:r>
        <w:rPr>
          <w:rFonts w:ascii="DejaVu Sans Mono" w:hAnsi="DejaVu Sans Mono"/>
          <w:sz w:val="17"/>
        </w:rPr>
        <w:t>trading_date</w:t>
      </w:r>
      <w:r>
        <w:t xml:space="preserve"> DATE;</w:t>
      </w:r>
    </w:p>
    <w:p>
      <w:pPr>
        <w:pStyle w:val="ListBullet"/>
      </w:pPr>
      <w:r>
        <w:rPr>
          <w:rFonts w:ascii="DejaVu Sans Mono" w:hAnsi="DejaVu Sans Mono"/>
          <w:sz w:val="17"/>
        </w:rPr>
        <w:t>net_foreign_flow_idr</w:t>
      </w:r>
      <w:r>
        <w:t xml:space="preserve"> NUMERIC;</w:t>
      </w:r>
    </w:p>
    <w:p>
      <w:pPr>
        <w:pStyle w:val="ListBullet"/>
      </w:pPr>
      <w:r>
        <w:rPr>
          <w:rFonts w:ascii="DejaVu Sans Mono" w:hAnsi="DejaVu Sans Mono"/>
          <w:sz w:val="17"/>
        </w:rPr>
        <w:t>source_fetch_id</w:t>
      </w:r>
      <w:r>
        <w:t xml:space="preserve"> UUID;</w:t>
      </w:r>
    </w:p>
    <w:p>
      <w:pPr>
        <w:pStyle w:val="ListBullet"/>
      </w:pPr>
      <w:r>
        <w:t xml:space="preserve">PK </w:t>
      </w:r>
      <w:r>
        <w:rPr>
          <w:rFonts w:ascii="DejaVu Sans Mono" w:hAnsi="DejaVu Sans Mono"/>
          <w:sz w:val="17"/>
        </w:rPr>
        <w:t>(instrument_id, trading_date)</w:t>
      </w:r>
      <w:r>
        <w:t>.</w:t>
      </w:r>
    </w:p>
    <w:p>
      <w:pPr>
        <w:pStyle w:val="Heading2"/>
      </w:pPr>
      <w:r>
        <w:t>structure_metrics</w:t>
      </w:r>
    </w:p>
    <w:p>
      <w:pPr>
        <w:pStyle w:val="ListBullet"/>
      </w:pPr>
      <w:r>
        <w:rPr>
          <w:rFonts w:ascii="DejaVu Sans Mono" w:hAnsi="DejaVu Sans Mono"/>
          <w:sz w:val="17"/>
        </w:rPr>
        <w:t>instrument_id</w:t>
      </w:r>
      <w:r>
        <w:t xml:space="preserve"> UUID;</w:t>
      </w:r>
    </w:p>
    <w:p>
      <w:pPr>
        <w:pStyle w:val="ListBullet"/>
      </w:pPr>
      <w:r>
        <w:rPr>
          <w:rFonts w:ascii="DejaVu Sans Mono" w:hAnsi="DejaVu Sans Mono"/>
          <w:sz w:val="17"/>
        </w:rPr>
        <w:t>trading_date</w:t>
      </w:r>
      <w:r>
        <w:t xml:space="preserve"> DATE;</w:t>
      </w:r>
    </w:p>
    <w:p>
      <w:pPr>
        <w:pStyle w:val="ListBullet"/>
      </w:pPr>
      <w:r>
        <w:rPr>
          <w:rFonts w:ascii="DejaVu Sans Mono" w:hAnsi="DejaVu Sans Mono"/>
          <w:sz w:val="17"/>
        </w:rPr>
        <w:t>metric_version</w:t>
      </w:r>
      <w:r>
        <w:t xml:space="preserve"> TEXT;</w:t>
      </w:r>
    </w:p>
    <w:p>
      <w:pPr>
        <w:pStyle w:val="ListBullet"/>
      </w:pPr>
      <w:r>
        <w:rPr>
          <w:rFonts w:ascii="DejaVu Sans Mono" w:hAnsi="DejaVu Sans Mono"/>
          <w:sz w:val="17"/>
        </w:rPr>
        <w:t>free_float_mcap_idr</w:t>
      </w:r>
      <w:r>
        <w:t xml:space="preserve"> NUMERIC NULL;</w:t>
      </w:r>
    </w:p>
    <w:p>
      <w:pPr>
        <w:pStyle w:val="ListBullet"/>
      </w:pPr>
      <w:r>
        <w:rPr>
          <w:rFonts w:ascii="DejaVu Sans Mono" w:hAnsi="DejaVu Sans Mono"/>
          <w:sz w:val="17"/>
        </w:rPr>
        <w:t>free_float_shares</w:t>
      </w:r>
      <w:r>
        <w:t xml:space="preserve"> NUMERIC NULL;</w:t>
      </w:r>
    </w:p>
    <w:p>
      <w:pPr>
        <w:pStyle w:val="ListBullet"/>
      </w:pPr>
      <w:r>
        <w:rPr>
          <w:rFonts w:ascii="DejaVu Sans Mono" w:hAnsi="DejaVu Sans Mono"/>
          <w:sz w:val="17"/>
        </w:rPr>
        <w:t>free_float_shares_estimated</w:t>
      </w:r>
      <w:r>
        <w:t xml:space="preserve"> BOOLEAN;</w:t>
      </w:r>
    </w:p>
    <w:p>
      <w:pPr>
        <w:pStyle w:val="ListBullet"/>
      </w:pPr>
      <w:r>
        <w:rPr>
          <w:rFonts w:ascii="DejaVu Sans Mono" w:hAnsi="DejaVu Sans Mono"/>
          <w:sz w:val="17"/>
        </w:rPr>
        <w:t>float_turnover</w:t>
      </w:r>
      <w:r>
        <w:t xml:space="preserve"> DOUBLE PRECISION NULL;</w:t>
      </w:r>
    </w:p>
    <w:p>
      <w:pPr>
        <w:pStyle w:val="ListBullet"/>
      </w:pPr>
      <w:r>
        <w:rPr>
          <w:rFonts w:ascii="DejaVu Sans Mono" w:hAnsi="DejaVu Sans Mono"/>
          <w:sz w:val="17"/>
        </w:rPr>
        <w:t>float_value_turnover</w:t>
      </w:r>
      <w:r>
        <w:t xml:space="preserve"> DOUBLE PRECISION NULL;</w:t>
      </w:r>
    </w:p>
    <w:p>
      <w:pPr>
        <w:pStyle w:val="ListBullet"/>
      </w:pPr>
      <w:r>
        <w:rPr>
          <w:rFonts w:ascii="DejaVu Sans Mono" w:hAnsi="DejaVu Sans Mono"/>
          <w:sz w:val="17"/>
        </w:rPr>
        <w:t>broker_hhi</w:t>
      </w:r>
      <w:r>
        <w:t xml:space="preserve"> DOUBLE PRECISION NULL;</w:t>
      </w:r>
    </w:p>
    <w:p>
      <w:pPr>
        <w:pStyle w:val="ListBullet"/>
      </w:pPr>
      <w:r>
        <w:rPr>
          <w:rFonts w:ascii="DejaVu Sans Mono" w:hAnsi="DejaVu Sans Mono"/>
          <w:sz w:val="17"/>
        </w:rPr>
        <w:t>effective_brokers</w:t>
      </w:r>
      <w:r>
        <w:t xml:space="preserve"> DOUBLE PRECISION NULL;</w:t>
      </w:r>
    </w:p>
    <w:p>
      <w:pPr>
        <w:pStyle w:val="ListBullet"/>
      </w:pPr>
      <w:r>
        <w:rPr>
          <w:rFonts w:ascii="DejaVu Sans Mono" w:hAnsi="DejaVu Sans Mono"/>
          <w:sz w:val="17"/>
        </w:rPr>
        <w:t>raw_active_brokers</w:t>
      </w:r>
      <w:r>
        <w:t xml:space="preserve"> INT NULL;</w:t>
      </w:r>
    </w:p>
    <w:p>
      <w:pPr>
        <w:pStyle w:val="ListBullet"/>
      </w:pPr>
      <w:r>
        <w:rPr>
          <w:rFonts w:ascii="DejaVu Sans Mono" w:hAnsi="DejaVu Sans Mono"/>
          <w:sz w:val="17"/>
        </w:rPr>
        <w:t>cr5</w:t>
      </w:r>
      <w:r>
        <w:t xml:space="preserve"> DOUBLE PRECISION NULL;</w:t>
      </w:r>
    </w:p>
    <w:p>
      <w:pPr>
        <w:pStyle w:val="ListBullet"/>
      </w:pPr>
      <w:r>
        <w:rPr>
          <w:rFonts w:ascii="DejaVu Sans Mono" w:hAnsi="DejaVu Sans Mono"/>
          <w:sz w:val="17"/>
        </w:rPr>
        <w:t>foreign_flow_intensity</w:t>
      </w:r>
      <w:r>
        <w:t xml:space="preserve"> DOUBLE PRECISION NULL;</w:t>
      </w:r>
    </w:p>
    <w:p>
      <w:pPr>
        <w:pStyle w:val="ListBullet"/>
      </w:pPr>
      <w:r>
        <w:rPr>
          <w:rFonts w:ascii="DejaVu Sans Mono" w:hAnsi="DejaVu Sans Mono"/>
          <w:sz w:val="17"/>
        </w:rPr>
        <w:t>quality</w:t>
      </w:r>
      <w:r>
        <w:t xml:space="preserve"> JSONB;</w:t>
      </w:r>
    </w:p>
    <w:p>
      <w:pPr>
        <w:pStyle w:val="ListBullet"/>
      </w:pPr>
      <w:r>
        <w:t xml:space="preserve">PK </w:t>
      </w:r>
      <w:r>
        <w:rPr>
          <w:rFonts w:ascii="DejaVu Sans Mono" w:hAnsi="DejaVu Sans Mono"/>
          <w:sz w:val="17"/>
        </w:rPr>
        <w:t>(instrument_id, trading_date, metric_version)</w:t>
      </w:r>
      <w:r>
        <w:t>.</w:t>
      </w:r>
    </w:p>
    <w:p>
      <w:pPr>
        <w:pStyle w:val="Heading2"/>
      </w:pPr>
      <w:r>
        <w:t>radar_snapshots</w:t>
      </w:r>
    </w:p>
    <w:p>
      <w:pPr>
        <w:pStyle w:val="ListBullet"/>
      </w:pPr>
      <w:r>
        <w:rPr>
          <w:rFonts w:ascii="DejaVu Sans Mono" w:hAnsi="DejaVu Sans Mono"/>
          <w:sz w:val="17"/>
        </w:rPr>
        <w:t>id</w:t>
      </w:r>
      <w:r>
        <w:t xml:space="preserve"> UUID PK;</w:t>
      </w:r>
    </w:p>
    <w:p>
      <w:pPr>
        <w:pStyle w:val="ListBullet"/>
      </w:pPr>
      <w:r>
        <w:rPr>
          <w:rFonts w:ascii="DejaVu Sans Mono" w:hAnsi="DejaVu Sans Mono"/>
          <w:sz w:val="17"/>
        </w:rPr>
        <w:t>trading_date</w:t>
      </w:r>
      <w:r>
        <w:t xml:space="preserve"> DATE;</w:t>
      </w:r>
    </w:p>
    <w:p>
      <w:pPr>
        <w:pStyle w:val="ListBullet"/>
      </w:pPr>
      <w:r>
        <w:rPr>
          <w:rFonts w:ascii="DejaVu Sans Mono" w:hAnsi="DejaVu Sans Mono"/>
          <w:sz w:val="17"/>
        </w:rPr>
        <w:t>metric_version</w:t>
      </w:r>
      <w:r>
        <w:t xml:space="preserve"> TEXT;</w:t>
      </w:r>
    </w:p>
    <w:p>
      <w:pPr>
        <w:pStyle w:val="ListBullet"/>
      </w:pPr>
      <w:r>
        <w:rPr>
          <w:rFonts w:ascii="DejaVu Sans Mono" w:hAnsi="DejaVu Sans Mono"/>
          <w:sz w:val="17"/>
        </w:rPr>
        <w:t>classification_version</w:t>
      </w:r>
      <w:r>
        <w:t xml:space="preserve"> TEXT;</w:t>
      </w:r>
    </w:p>
    <w:p>
      <w:pPr>
        <w:pStyle w:val="ListBullet"/>
      </w:pPr>
      <w:r>
        <w:rPr>
          <w:rFonts w:ascii="DejaVu Sans Mono" w:hAnsi="DejaVu Sans Mono"/>
          <w:sz w:val="17"/>
        </w:rPr>
        <w:t>status</w:t>
      </w:r>
      <w:r>
        <w:t xml:space="preserve"> TEXT;</w:t>
      </w:r>
    </w:p>
    <w:p>
      <w:pPr>
        <w:pStyle w:val="ListBullet"/>
      </w:pPr>
      <w:r>
        <w:rPr>
          <w:rFonts w:ascii="DejaVu Sans Mono" w:hAnsi="DejaVu Sans Mono"/>
          <w:sz w:val="17"/>
        </w:rPr>
        <w:t>created_at</w:t>
      </w:r>
      <w:r>
        <w:t xml:space="preserve"> TIMESTAMPTZ;</w:t>
      </w:r>
    </w:p>
    <w:p>
      <w:pPr>
        <w:pStyle w:val="ListBullet"/>
      </w:pPr>
      <w:r>
        <w:rPr>
          <w:rFonts w:ascii="DejaVu Sans Mono" w:hAnsi="DejaVu Sans Mono"/>
          <w:sz w:val="17"/>
        </w:rPr>
        <w:t>completed_at</w:t>
      </w:r>
      <w:r>
        <w:t xml:space="preserve"> TIMESTAMPTZ NULL;</w:t>
      </w:r>
    </w:p>
    <w:p>
      <w:pPr>
        <w:pStyle w:val="ListBullet"/>
      </w:pPr>
      <w:r>
        <w:rPr>
          <w:rFonts w:ascii="DejaVu Sans Mono" w:hAnsi="DejaVu Sans Mono"/>
          <w:sz w:val="17"/>
        </w:rPr>
        <w:t>build_meta</w:t>
      </w:r>
      <w:r>
        <w:t xml:space="preserve"> JSONB;</w:t>
      </w:r>
    </w:p>
    <w:p>
      <w:pPr>
        <w:pStyle w:val="ListBullet"/>
      </w:pPr>
      <w:r>
        <w:t xml:space="preserve">UNIQUE </w:t>
      </w:r>
      <w:r>
        <w:rPr>
          <w:rFonts w:ascii="DejaVu Sans Mono" w:hAnsi="DejaVu Sans Mono"/>
          <w:sz w:val="17"/>
        </w:rPr>
        <w:t>(trading_date, metric_version, classification_version, status)</w:t>
      </w:r>
      <w:r>
        <w:t xml:space="preserve"> only if useful; completed uniqueness enforced carefully.</w:t>
      </w:r>
    </w:p>
    <w:p>
      <w:pPr>
        <w:pStyle w:val="Heading2"/>
      </w:pPr>
      <w:r>
        <w:t>radar_members</w:t>
      </w:r>
    </w:p>
    <w:p>
      <w:pPr>
        <w:pStyle w:val="ListBullet"/>
      </w:pPr>
      <w:r>
        <w:rPr>
          <w:rFonts w:ascii="DejaVu Sans Mono" w:hAnsi="DejaVu Sans Mono"/>
          <w:sz w:val="17"/>
        </w:rPr>
        <w:t>radar_id</w:t>
      </w:r>
      <w:r>
        <w:t xml:space="preserve"> UUID;</w:t>
      </w:r>
    </w:p>
    <w:p>
      <w:pPr>
        <w:pStyle w:val="ListBullet"/>
      </w:pPr>
      <w:r>
        <w:rPr>
          <w:rFonts w:ascii="DejaVu Sans Mono" w:hAnsi="DejaVu Sans Mono"/>
          <w:sz w:val="17"/>
        </w:rPr>
        <w:t>instrument_id</w:t>
      </w:r>
      <w:r>
        <w:t xml:space="preserve"> UUID;</w:t>
      </w:r>
    </w:p>
    <w:p>
      <w:pPr>
        <w:pStyle w:val="ListBullet"/>
      </w:pPr>
      <w:r>
        <w:rPr>
          <w:rFonts w:ascii="DejaVu Sans Mono" w:hAnsi="DejaVu Sans Mono"/>
          <w:sz w:val="17"/>
        </w:rPr>
        <w:t>classification</w:t>
      </w:r>
      <w:r>
        <w:t xml:space="preserve"> TEXT;</w:t>
      </w:r>
    </w:p>
    <w:p>
      <w:pPr>
        <w:pStyle w:val="ListBullet"/>
      </w:pPr>
      <w:r>
        <w:rPr>
          <w:rFonts w:ascii="DejaVu Sans Mono" w:hAnsi="DejaVu Sans Mono"/>
          <w:sz w:val="17"/>
        </w:rPr>
        <w:t>reason_codes</w:t>
      </w:r>
      <w:r>
        <w:t xml:space="preserve"> JSONB;</w:t>
      </w:r>
    </w:p>
    <w:p>
      <w:pPr>
        <w:pStyle w:val="ListBullet"/>
      </w:pPr>
      <w:r>
        <w:rPr>
          <w:rFonts w:ascii="DejaVu Sans Mono" w:hAnsi="DejaVu Sans Mono"/>
          <w:sz w:val="17"/>
        </w:rPr>
        <w:t>float_turnover_percentile</w:t>
      </w:r>
      <w:r>
        <w:t xml:space="preserve"> DOUBLE PRECISION NULL;</w:t>
      </w:r>
    </w:p>
    <w:p>
      <w:pPr>
        <w:pStyle w:val="ListBullet"/>
      </w:pPr>
      <w:r>
        <w:rPr>
          <w:rFonts w:ascii="DejaVu Sans Mono" w:hAnsi="DejaVu Sans Mono"/>
          <w:sz w:val="17"/>
        </w:rPr>
        <w:t>hhi_percentile</w:t>
      </w:r>
      <w:r>
        <w:t xml:space="preserve"> DOUBLE PRECISION NULL;</w:t>
      </w:r>
    </w:p>
    <w:p>
      <w:pPr>
        <w:pStyle w:val="ListBullet"/>
      </w:pPr>
      <w:r>
        <w:t xml:space="preserve">PK </w:t>
      </w:r>
      <w:r>
        <w:rPr>
          <w:rFonts w:ascii="DejaVu Sans Mono" w:hAnsi="DejaVu Sans Mono"/>
          <w:sz w:val="17"/>
        </w:rPr>
        <w:t>(radar_id, instrument_id)</w:t>
      </w:r>
      <w:r>
        <w:t>.</w:t>
      </w:r>
    </w:p>
    <w:p>
      <w:pPr>
        <w:pStyle w:val="Heading1"/>
      </w:pPr>
      <w:r>
        <w:t>10. Transaction and consistency requirements</w:t>
      </w:r>
    </w:p>
    <w:p>
      <w:pPr>
        <w:pStyle w:val="ListBullet"/>
      </w:pPr>
      <w:r>
        <w:t>Radar completion shall be atomic.</w:t>
      </w:r>
    </w:p>
    <w:p>
      <w:pPr>
        <w:pStyle w:val="ListBullet"/>
      </w:pPr>
      <w:r>
        <w:t>A build may write staging/working rows before completion, but readers query completed snapshots only.</w:t>
      </w:r>
    </w:p>
    <w:p>
      <w:pPr>
        <w:pStyle w:val="ListBullet"/>
      </w:pPr>
      <w:r>
        <w:t>Failed builds remain inspectable but are never returned as current radar data.</w:t>
      </w:r>
    </w:p>
    <w:p>
      <w:pPr>
        <w:pStyle w:val="ListBullet"/>
      </w:pPr>
      <w:r>
        <w:t>Metric calculations must be idempotent for identical source snapshots and methodology versions.</w:t>
      </w:r>
    </w:p>
    <w:p>
      <w:pPr>
        <w:pStyle w:val="ListBullet"/>
      </w:pPr>
      <w:r>
        <w:t>Database migrations must be version-controlled and applied before application start or via an explicit migration command.</w:t>
      </w:r>
    </w:p>
    <w:p>
      <w:pPr>
        <w:pStyle w:val="Heading1"/>
      </w:pPr>
      <w:r>
        <w:t>11. Concurrency requirements</w:t>
      </w:r>
    </w:p>
    <w:p>
      <w:pPr>
        <w:pStyle w:val="ListBullet"/>
      </w:pPr>
      <w:r>
        <w:t>No unbounded Tokio task spawning per symbol.</w:t>
      </w:r>
    </w:p>
    <w:p>
      <w:pPr>
        <w:pStyle w:val="ListBullet"/>
      </w:pPr>
      <w:r>
        <w:t>External calls use a semaphore/concurrency limit.</w:t>
      </w:r>
    </w:p>
    <w:p>
      <w:pPr>
        <w:pStyle w:val="ListBullet"/>
      </w:pPr>
      <w:r>
        <w:t>One build per trading date + methodology version at a time.</w:t>
      </w:r>
    </w:p>
    <w:p>
      <w:pPr>
        <w:pStyle w:val="ListBullet"/>
      </w:pPr>
      <w:r>
        <w:t>Reads continue during ingestion/build.</w:t>
      </w:r>
    </w:p>
    <w:p>
      <w:pPr>
        <w:pStyle w:val="ListBullet"/>
      </w:pPr>
      <w:r>
        <w:t>Request cancellation propagates through service and database work where practical.</w:t>
      </w:r>
    </w:p>
    <w:p>
      <w:pPr>
        <w:pStyle w:val="ListBullet"/>
      </w:pPr>
      <w:r>
        <w:t>Background jobs must emit a build identifier in logs.</w:t>
      </w:r>
    </w:p>
    <w:p>
      <w:pPr>
        <w:pStyle w:val="Heading1"/>
      </w:pPr>
      <w:r>
        <w:t>12. External-provider requirements</w:t>
      </w:r>
    </w:p>
    <w:p>
      <w:r>
        <w:t>Provider interface shall be domain-oriented, for example:</w:t>
      </w:r>
    </w:p>
    <w:p>
      <w:pPr>
        <w:spacing w:before="80" w:after="140"/>
        <w:ind w:left="317" w:right="144"/>
      </w:pPr>
      <w:r>
        <w:rPr>
          <w:rFonts w:ascii="DejaVu Sans Mono" w:hAnsi="DejaVu Sans Mono"/>
          <w:sz w:val="16"/>
        </w:rPr>
        <w:t>#[async_trait]</w:t>
        <w:br/>
        <w:t>pub trait MarketDataProvider {</w:t>
        <w:br/>
        <w:t xml:space="preserve">    async fn instruments(&amp;self, ctx: ProviderContext) -&gt; Result&lt;Vec&lt;InstrumentInput&gt;, ProviderError&gt;;</w:t>
        <w:br/>
        <w:t xml:space="preserve">    async fn market_daily(&amp;self, date: NaiveDate) -&gt; Result&lt;Vec&lt;MarketDailyInput&gt;, ProviderError&gt;;</w:t>
        <w:br/>
        <w:t xml:space="preserve">    async fn free_float(&amp;self, date: Option&lt;NaiveDate&gt;) -&gt; Result&lt;Vec&lt;FreeFloatInput&gt;, ProviderError&gt;;</w:t>
        <w:br/>
        <w:t xml:space="preserve">    async fn broker_activity(&amp;self, symbol: &amp;str, date: NaiveDate) -&gt; Result&lt;Vec&lt;BrokerActivityInput&gt;, ProviderError&gt;;</w:t>
        <w:br/>
        <w:t xml:space="preserve">    async fn foreign_flow(&amp;self, symbol: &amp;str, date: NaiveDate) -&gt; Result&lt;Option&lt;ForeignFlowInput&gt;, ProviderError&gt;;</w:t>
        <w:br/>
        <w:t>}</w:t>
      </w:r>
    </w:p>
    <w:p>
      <w:r>
        <w:t>Exact Rust date type may differ. The architectural requirement is the provider boundary, not this literal signature.</w:t>
      </w:r>
    </w:p>
    <w:p>
      <w:r>
        <w:t>External requests shall include:</w:t>
      </w:r>
    </w:p>
    <w:p>
      <w:pPr>
        <w:pStyle w:val="ListBullet"/>
      </w:pPr>
      <w:r>
        <w:t>timeout;</w:t>
      </w:r>
    </w:p>
    <w:p>
      <w:pPr>
        <w:pStyle w:val="ListBullet"/>
      </w:pPr>
      <w:r>
        <w:t>retry only for retryable status/network failures;</w:t>
      </w:r>
    </w:p>
    <w:p>
      <w:pPr>
        <w:pStyle w:val="ListBullet"/>
      </w:pPr>
      <w:r>
        <w:t>exponential backoff with jitter;</w:t>
      </w:r>
    </w:p>
    <w:p>
      <w:pPr>
        <w:pStyle w:val="ListBullet"/>
      </w:pPr>
      <w:r>
        <w:t>bounded concurrency;</w:t>
      </w:r>
    </w:p>
    <w:p>
      <w:pPr>
        <w:pStyle w:val="ListBullet"/>
      </w:pPr>
      <w:r>
        <w:t>request tracing;</w:t>
      </w:r>
    </w:p>
    <w:p>
      <w:pPr>
        <w:pStyle w:val="ListBullet"/>
      </w:pPr>
      <w:r>
        <w:t>persistent cache lookup;</w:t>
      </w:r>
    </w:p>
    <w:p>
      <w:pPr>
        <w:pStyle w:val="ListBullet"/>
      </w:pPr>
      <w:r>
        <w:t>response-size limits where practical;</w:t>
      </w:r>
    </w:p>
    <w:p>
      <w:pPr>
        <w:pStyle w:val="ListBullet"/>
      </w:pPr>
      <w:r>
        <w:t>no secret values in logs.</w:t>
      </w:r>
    </w:p>
    <w:p>
      <w:pPr>
        <w:pStyle w:val="Heading1"/>
      </w:pPr>
      <w:r>
        <w:t>13. API conventions</w:t>
      </w:r>
    </w:p>
    <w:p>
      <w:pPr>
        <w:pStyle w:val="Heading2"/>
      </w:pPr>
      <w:r>
        <w:t>Success envelope</w:t>
      </w:r>
    </w:p>
    <w:p>
      <w:pPr>
        <w:spacing w:before="80" w:after="140"/>
        <w:ind w:left="317" w:right="144"/>
      </w:pPr>
      <w:r>
        <w:rPr>
          <w:rFonts w:ascii="DejaVu Sans Mono" w:hAnsi="DejaVu Sans Mono"/>
          <w:sz w:val="16"/>
        </w:rPr>
        <w:t>{</w:t>
        <w:br/>
        <w:t xml:space="preserve">  "data": {},</w:t>
        <w:br/>
        <w:t xml:space="preserve">  "meta": {</w:t>
        <w:br/>
        <w:t xml:space="preserve">    "request_id": "uuid",</w:t>
        <w:br/>
        <w:t xml:space="preserve">    "trading_date": "2026-09-10",</w:t>
        <w:br/>
        <w:t xml:space="preserve">    "metric_version": "structure-v1",</w:t>
        <w:br/>
        <w:t xml:space="preserve">    "classification_version": "class-v1"</w:t>
        <w:br/>
        <w:t xml:space="preserve">  }</w:t>
        <w:br/>
        <w:t>}</w:t>
      </w:r>
    </w:p>
    <w:p>
      <w:pPr>
        <w:pStyle w:val="Heading2"/>
      </w:pPr>
      <w:r>
        <w:t>Error envelope</w:t>
      </w:r>
    </w:p>
    <w:p>
      <w:pPr>
        <w:spacing w:before="80" w:after="140"/>
        <w:ind w:left="317" w:right="144"/>
      </w:pPr>
      <w:r>
        <w:rPr>
          <w:rFonts w:ascii="DejaVu Sans Mono" w:hAnsi="DejaVu Sans Mono"/>
          <w:sz w:val="16"/>
        </w:rPr>
        <w:t>{</w:t>
        <w:br/>
        <w:t xml:space="preserve">  "error": {</w:t>
        <w:br/>
        <w:t xml:space="preserve">    "code": "RADAR_NOT_FOUND",</w:t>
        <w:br/>
        <w:t xml:space="preserve">    "message": "No completed radar snapshot exists for this trading date"</w:t>
        <w:br/>
        <w:t xml:space="preserve">  },</w:t>
        <w:br/>
        <w:t xml:space="preserve">  "meta": {</w:t>
        <w:br/>
        <w:t xml:space="preserve">    "request_id": "uuid"</w:t>
        <w:br/>
        <w:t xml:space="preserve">  }</w:t>
        <w:br/>
        <w:t>}</w:t>
      </w:r>
    </w:p>
    <w:p>
      <w:r>
        <w:t>Frontend logic shall use stable error codes, not parse message strings.</w:t>
      </w:r>
    </w:p>
    <w:p>
      <w:pPr>
        <w:pStyle w:val="Heading1"/>
      </w:pPr>
      <w:r>
        <w:t>14. Non-functional requirements</w:t>
      </w:r>
    </w:p>
    <w:p>
      <w:pPr>
        <w:pStyle w:val="Heading2"/>
      </w:pPr>
      <w:r>
        <w:t>Performance</w:t>
      </w:r>
    </w:p>
    <w:p>
      <w:r>
        <w:t>Target on a normal single-instance deployment with warm database/cache:</w:t>
      </w:r>
    </w:p>
    <w:p>
      <w:pPr>
        <w:pStyle w:val="ListBullet"/>
      </w:pPr>
      <w:r>
        <w:t>radar API p95 &lt; 350 ms;</w:t>
      </w:r>
    </w:p>
    <w:p>
      <w:pPr>
        <w:pStyle w:val="ListBullet"/>
      </w:pPr>
      <w:r>
        <w:t>stock detail p95 &lt; 250 ms;</w:t>
      </w:r>
    </w:p>
    <w:p>
      <w:pPr>
        <w:pStyle w:val="ListBullet"/>
      </w:pPr>
      <w:r>
        <w:t>compare p95 &lt; 350 ms for four symbols;</w:t>
      </w:r>
    </w:p>
    <w:p>
      <w:pPr>
        <w:pStyle w:val="ListBullet"/>
      </w:pPr>
      <w:r>
        <w:t>methodology p95 &lt; 100 ms.</w:t>
      </w:r>
    </w:p>
    <w:p>
      <w:r>
        <w:t>These are not market-data latency targets because reads must not depend on live provider calls.</w:t>
      </w:r>
    </w:p>
    <w:p>
      <w:pPr>
        <w:pStyle w:val="Heading2"/>
      </w:pPr>
      <w:r>
        <w:t>Reliability</w:t>
      </w:r>
    </w:p>
    <w:p>
      <w:pPr>
        <w:pStyle w:val="ListBullet"/>
      </w:pPr>
      <w:r>
        <w:t>User reads remain available when the provider is down if completed local data exists.</w:t>
      </w:r>
    </w:p>
    <w:p>
      <w:pPr>
        <w:pStyle w:val="ListBullet"/>
      </w:pPr>
      <w:r>
        <w:t>No partial completed snapshot.</w:t>
      </w:r>
    </w:p>
    <w:p>
      <w:pPr>
        <w:pStyle w:val="ListBullet"/>
      </w:pPr>
      <w:r>
        <w:t>A failed refresh preserves the previous completed snapshot.</w:t>
      </w:r>
    </w:p>
    <w:p>
      <w:pPr>
        <w:pStyle w:val="ListBullet"/>
      </w:pPr>
      <w:r>
        <w:t>Provider failures are recorded with retryability metadata.</w:t>
      </w:r>
    </w:p>
    <w:p>
      <w:pPr>
        <w:pStyle w:val="Heading2"/>
      </w:pPr>
      <w:r>
        <w:t>Security</w:t>
      </w:r>
    </w:p>
    <w:p>
      <w:pPr>
        <w:pStyle w:val="ListBullet"/>
      </w:pPr>
      <w:r>
        <w:t>Provider API keys are backend-only environment/secrets values.</w:t>
      </w:r>
    </w:p>
    <w:p>
      <w:pPr>
        <w:pStyle w:val="ListBullet"/>
      </w:pPr>
      <w:r>
        <w:t>Admin build endpoint requires authentication/secret at minimum.</w:t>
      </w:r>
    </w:p>
    <w:p>
      <w:pPr>
        <w:pStyle w:val="ListBullet"/>
      </w:pPr>
      <w:r>
        <w:t>CORS is restricted in deployed environments.</w:t>
      </w:r>
    </w:p>
    <w:p>
      <w:pPr>
        <w:pStyle w:val="ListBullet"/>
      </w:pPr>
      <w:r>
        <w:t>Authorization headers and secrets are redacted from logs.</w:t>
      </w:r>
    </w:p>
    <w:p>
      <w:pPr>
        <w:pStyle w:val="ListBullet"/>
      </w:pPr>
      <w:r>
        <w:t>SQL is parameterized through SQLx.</w:t>
      </w:r>
    </w:p>
    <w:p>
      <w:pPr>
        <w:pStyle w:val="ListBullet"/>
      </w:pPr>
      <w:r>
        <w:t>Input validation applies to symbols, dates, list sizes, and pagination.</w:t>
      </w:r>
    </w:p>
    <w:p>
      <w:pPr>
        <w:pStyle w:val="ListBullet"/>
      </w:pPr>
      <w:r>
        <w:t>Request body size is limited.</w:t>
      </w:r>
    </w:p>
    <w:p>
      <w:pPr>
        <w:pStyle w:val="ListBullet"/>
      </w:pPr>
      <w:r>
        <w:t>Admin operations are rate-limited.</w:t>
      </w:r>
    </w:p>
    <w:p>
      <w:pPr>
        <w:pStyle w:val="Heading2"/>
      </w:pPr>
      <w:r>
        <w:t>Observability</w:t>
      </w:r>
    </w:p>
    <w:p>
      <w:r>
        <w:t>Structured tracing fields should include:</w:t>
      </w:r>
    </w:p>
    <w:p>
      <w:pPr>
        <w:pStyle w:val="ListBullet"/>
      </w:pPr>
      <w:r>
        <w:t>request ID;</w:t>
      </w:r>
    </w:p>
    <w:p>
      <w:pPr>
        <w:pStyle w:val="ListBullet"/>
      </w:pPr>
      <w:r>
        <w:t>route;</w:t>
      </w:r>
    </w:p>
    <w:p>
      <w:pPr>
        <w:pStyle w:val="ListBullet"/>
      </w:pPr>
      <w:r>
        <w:t>status;</w:t>
      </w:r>
    </w:p>
    <w:p>
      <w:pPr>
        <w:pStyle w:val="ListBullet"/>
      </w:pPr>
      <w:r>
        <w:t>latency;</w:t>
      </w:r>
    </w:p>
    <w:p>
      <w:pPr>
        <w:pStyle w:val="ListBullet"/>
      </w:pPr>
      <w:r>
        <w:t>symbol;</w:t>
      </w:r>
    </w:p>
    <w:p>
      <w:pPr>
        <w:pStyle w:val="ListBullet"/>
      </w:pPr>
      <w:r>
        <w:t>trading date;</w:t>
      </w:r>
    </w:p>
    <w:p>
      <w:pPr>
        <w:pStyle w:val="ListBullet"/>
      </w:pPr>
      <w:r>
        <w:t>build ID;</w:t>
      </w:r>
    </w:p>
    <w:p>
      <w:pPr>
        <w:pStyle w:val="ListBullet"/>
      </w:pPr>
      <w:r>
        <w:t>provider endpoint kind;</w:t>
      </w:r>
    </w:p>
    <w:p>
      <w:pPr>
        <w:pStyle w:val="ListBullet"/>
      </w:pPr>
      <w:r>
        <w:t>cache hit/miss;</w:t>
      </w:r>
    </w:p>
    <w:p>
      <w:pPr>
        <w:pStyle w:val="ListBullet"/>
      </w:pPr>
      <w:r>
        <w:t>provider latency/status;</w:t>
      </w:r>
    </w:p>
    <w:p>
      <w:pPr>
        <w:pStyle w:val="ListBullet"/>
      </w:pPr>
      <w:r>
        <w:t>row counts;</w:t>
      </w:r>
    </w:p>
    <w:p>
      <w:pPr>
        <w:pStyle w:val="ListBullet"/>
      </w:pPr>
      <w:r>
        <w:t>quality failure counts.</w:t>
      </w:r>
    </w:p>
    <w:p>
      <w:r>
        <w:t>Metrics to add when useful:</w:t>
      </w:r>
    </w:p>
    <w:p>
      <w:pPr>
        <w:pStyle w:val="ListBullet"/>
      </w:pPr>
      <w:r>
        <w:t>API request duration/count;</w:t>
      </w:r>
    </w:p>
    <w:p>
      <w:pPr>
        <w:pStyle w:val="ListBullet"/>
      </w:pPr>
      <w:r>
        <w:t>provider call count/failure rate;</w:t>
      </w:r>
    </w:p>
    <w:p>
      <w:pPr>
        <w:pStyle w:val="ListBullet"/>
      </w:pPr>
      <w:r>
        <w:t>cache hit ratio;</w:t>
      </w:r>
    </w:p>
    <w:p>
      <w:pPr>
        <w:pStyle w:val="ListBullet"/>
      </w:pPr>
      <w:r>
        <w:t>build duration;</w:t>
      </w:r>
    </w:p>
    <w:p>
      <w:pPr>
        <w:pStyle w:val="ListBullet"/>
      </w:pPr>
      <w:r>
        <w:t>instruments processed;</w:t>
      </w:r>
    </w:p>
    <w:p>
      <w:pPr>
        <w:pStyle w:val="ListBullet"/>
      </w:pPr>
      <w:r>
        <w:t>data-quality rejection count;</w:t>
      </w:r>
    </w:p>
    <w:p>
      <w:pPr>
        <w:pStyle w:val="ListBullet"/>
      </w:pPr>
      <w:r>
        <w:t>DB pool saturation.</w:t>
      </w:r>
    </w:p>
    <w:p>
      <w:pPr>
        <w:pStyle w:val="Heading1"/>
      </w:pPr>
      <w:r>
        <w:t>15. Frontend requirements</w:t>
      </w:r>
    </w:p>
    <w:p>
      <w:pPr>
        <w:pStyle w:val="Heading2"/>
      </w:pPr>
      <w:r>
        <w:t>Radar</w:t>
      </w:r>
    </w:p>
    <w:p>
      <w:pPr>
        <w:pStyle w:val="ListBullet"/>
      </w:pPr>
      <w:r>
        <w:t>table-first;</w:t>
      </w:r>
    </w:p>
    <w:p>
      <w:pPr>
        <w:pStyle w:val="ListBullet"/>
      </w:pPr>
      <w:r>
        <w:t>URL-persisted date/filter state where reasonable;</w:t>
      </w:r>
    </w:p>
    <w:p>
      <w:pPr>
        <w:pStyle w:val="ListBullet"/>
      </w:pPr>
      <w:r>
        <w:t>loading/empty/error/completed states;</w:t>
      </w:r>
    </w:p>
    <w:p>
      <w:pPr>
        <w:pStyle w:val="ListBullet"/>
      </w:pPr>
      <w:r>
        <w:t xml:space="preserve">null displayed as </w:t>
      </w:r>
      <w:r>
        <w:rPr>
          <w:rFonts w:ascii="DejaVu Sans Mono" w:hAnsi="DejaVu Sans Mono"/>
          <w:sz w:val="17"/>
        </w:rPr>
        <w:t>Unavailable</w:t>
      </w:r>
      <w:r>
        <w:t xml:space="preserve">, not </w:t>
      </w:r>
      <w:r>
        <w:rPr>
          <w:rFonts w:ascii="DejaVu Sans Mono" w:hAnsi="DejaVu Sans Mono"/>
          <w:sz w:val="17"/>
        </w:rPr>
        <w:t>0</w:t>
      </w:r>
      <w:r>
        <w:t>;</w:t>
      </w:r>
    </w:p>
    <w:p>
      <w:pPr>
        <w:pStyle w:val="ListBullet"/>
      </w:pPr>
      <w:r>
        <w:t>methodology tooltip/link for each derived column;</w:t>
      </w:r>
    </w:p>
    <w:p>
      <w:pPr>
        <w:pStyle w:val="ListBullet"/>
      </w:pPr>
      <w:r>
        <w:t>data-quality badge.</w:t>
      </w:r>
    </w:p>
    <w:p>
      <w:pPr>
        <w:pStyle w:val="Heading2"/>
      </w:pPr>
      <w:r>
        <w:t>Detail</w:t>
      </w:r>
    </w:p>
    <w:p>
      <w:pPr>
        <w:pStyle w:val="ListBullet"/>
      </w:pPr>
      <w:r>
        <w:t>metric cards with exact units;</w:t>
      </w:r>
    </w:p>
    <w:p>
      <w:pPr>
        <w:pStyle w:val="ListBullet"/>
      </w:pPr>
      <w:r>
        <w:t>broker distribution chart;</w:t>
      </w:r>
    </w:p>
    <w:p>
      <w:pPr>
        <w:pStyle w:val="ListBullet"/>
      </w:pPr>
      <w:r>
        <w:t>headline vs free-float market-cap comparison;</w:t>
      </w:r>
    </w:p>
    <w:p>
      <w:pPr>
        <w:pStyle w:val="ListBullet"/>
      </w:pPr>
      <w:r>
        <w:t>provenance panel;</w:t>
      </w:r>
    </w:p>
    <w:p>
      <w:pPr>
        <w:pStyle w:val="ListBullet"/>
      </w:pPr>
      <w:r>
        <w:t>classification explanation;</w:t>
      </w:r>
    </w:p>
    <w:p>
      <w:pPr>
        <w:pStyle w:val="ListBullet"/>
      </w:pPr>
      <w:r>
        <w:t>historical chart only when point-in-time inputs are valid.</w:t>
      </w:r>
    </w:p>
    <w:p>
      <w:pPr>
        <w:pStyle w:val="Heading2"/>
      </w:pPr>
      <w:r>
        <w:t>Compare</w:t>
      </w:r>
    </w:p>
    <w:p>
      <w:pPr>
        <w:pStyle w:val="ListBullet"/>
      </w:pPr>
      <w:r>
        <w:t>2-4 instruments;</w:t>
      </w:r>
    </w:p>
    <w:p>
      <w:pPr>
        <w:pStyle w:val="ListBullet"/>
      </w:pPr>
      <w:r>
        <w:t>same trading date;</w:t>
      </w:r>
    </w:p>
    <w:p>
      <w:pPr>
        <w:pStyle w:val="ListBullet"/>
      </w:pPr>
      <w:r>
        <w:t>same metric definitions;</w:t>
      </w:r>
    </w:p>
    <w:p>
      <w:pPr>
        <w:pStyle w:val="ListBullet"/>
      </w:pPr>
      <w:r>
        <w:t>no rescaling that visually hides missing values.</w:t>
      </w:r>
    </w:p>
    <w:p>
      <w:pPr>
        <w:pStyle w:val="Heading2"/>
      </w:pPr>
      <w:r>
        <w:t>Accessibility</w:t>
      </w:r>
    </w:p>
    <w:p>
      <w:pPr>
        <w:pStyle w:val="ListBullet"/>
      </w:pPr>
      <w:r>
        <w:t>keyboard-usable tables/filters;</w:t>
      </w:r>
    </w:p>
    <w:p>
      <w:pPr>
        <w:pStyle w:val="ListBullet"/>
      </w:pPr>
      <w:r>
        <w:t>semantic headings;</w:t>
      </w:r>
    </w:p>
    <w:p>
      <w:pPr>
        <w:pStyle w:val="ListBullet"/>
      </w:pPr>
      <w:r>
        <w:t>sufficient contrast;</w:t>
      </w:r>
    </w:p>
    <w:p>
      <w:pPr>
        <w:pStyle w:val="ListBullet"/>
      </w:pPr>
      <w:r>
        <w:t>chart data has textual/tabular fallback for important values.</w:t>
      </w:r>
    </w:p>
    <w:p>
      <w:pPr>
        <w:pStyle w:val="Heading1"/>
      </w:pPr>
      <w:r>
        <w:t>16. Error handling</w:t>
      </w:r>
    </w:p>
    <w:p>
      <w:r>
        <w:t>Recommended HTTP mapping:</w:t>
      </w:r>
    </w:p>
    <w:p>
      <w:pPr>
        <w:pStyle w:val="ListBullet"/>
      </w:pPr>
      <w:r>
        <w:t>invalid input: 400;</w:t>
      </w:r>
    </w:p>
    <w:p>
      <w:pPr>
        <w:pStyle w:val="ListBullet"/>
      </w:pPr>
      <w:r>
        <w:t>admin unauthenticated: 401;</w:t>
      </w:r>
    </w:p>
    <w:p>
      <w:pPr>
        <w:pStyle w:val="ListBullet"/>
      </w:pPr>
      <w:r>
        <w:t>admin forbidden: 403;</w:t>
      </w:r>
    </w:p>
    <w:p>
      <w:pPr>
        <w:pStyle w:val="ListBullet"/>
      </w:pPr>
      <w:r>
        <w:t>snapshot/instrument not found: 404;</w:t>
      </w:r>
    </w:p>
    <w:p>
      <w:pPr>
        <w:pStyle w:val="ListBullet"/>
      </w:pPr>
      <w:r>
        <w:t>build already running: 409;</w:t>
      </w:r>
    </w:p>
    <w:p>
      <w:pPr>
        <w:pStyle w:val="ListBullet"/>
      </w:pPr>
      <w:r>
        <w:t>explicit provider refresh failed: 502/503;</w:t>
      </w:r>
    </w:p>
    <w:p>
      <w:pPr>
        <w:pStyle w:val="ListBullet"/>
      </w:pPr>
      <w:r>
        <w:t>unexpected internal failure: 500.</w:t>
      </w:r>
    </w:p>
    <w:p>
      <w:r>
        <w:t>Read endpoints must not return 5xx merely because the provider is down when local data exists.</w:t>
      </w:r>
    </w:p>
    <w:p>
      <w:pPr>
        <w:pStyle w:val="Heading1"/>
      </w:pPr>
      <w:r>
        <w:t>17. Testing requirements</w:t>
      </w:r>
    </w:p>
    <w:p>
      <w:pPr>
        <w:pStyle w:val="Heading2"/>
      </w:pPr>
      <w:r>
        <w:t>Unit tests</w:t>
      </w:r>
    </w:p>
    <w:p>
      <w:r>
        <w:t>Required for:</w:t>
      </w:r>
    </w:p>
    <w:p>
      <w:pPr>
        <w:pStyle w:val="ListBullet"/>
      </w:pPr>
      <w:r>
        <w:t>free-float market cap;</w:t>
      </w:r>
    </w:p>
    <w:p>
      <w:pPr>
        <w:pStyle w:val="ListBullet"/>
      </w:pPr>
      <w:r>
        <w:t>estimated shares;</w:t>
      </w:r>
    </w:p>
    <w:p>
      <w:pPr>
        <w:pStyle w:val="ListBullet"/>
      </w:pPr>
      <w:r>
        <w:t>float turnover;</w:t>
      </w:r>
    </w:p>
    <w:p>
      <w:pPr>
        <w:pStyle w:val="ListBullet"/>
      </w:pPr>
      <w:r>
        <w:t>value turnover;</w:t>
      </w:r>
    </w:p>
    <w:p>
      <w:pPr>
        <w:pStyle w:val="ListBullet"/>
      </w:pPr>
      <w:r>
        <w:t>HHI;</w:t>
      </w:r>
    </w:p>
    <w:p>
      <w:pPr>
        <w:pStyle w:val="ListBullet"/>
      </w:pPr>
      <w:r>
        <w:t>effective broker count;</w:t>
      </w:r>
    </w:p>
    <w:p>
      <w:pPr>
        <w:pStyle w:val="ListBullet"/>
      </w:pPr>
      <w:r>
        <w:t>CR5;</w:t>
      </w:r>
    </w:p>
    <w:p>
      <w:pPr>
        <w:pStyle w:val="ListBullet"/>
      </w:pPr>
      <w:r>
        <w:t>foreign-flow intensity;</w:t>
      </w:r>
    </w:p>
    <w:p>
      <w:pPr>
        <w:pStyle w:val="ListBullet"/>
      </w:pPr>
      <w:r>
        <w:t>quality propagation;</w:t>
      </w:r>
    </w:p>
    <w:p>
      <w:pPr>
        <w:pStyle w:val="ListBullet"/>
      </w:pPr>
      <w:r>
        <w:t>classification boundaries;</w:t>
      </w:r>
    </w:p>
    <w:p>
      <w:pPr>
        <w:pStyle w:val="ListBullet"/>
      </w:pPr>
      <w:r>
        <w:t>unit conversion helpers.</w:t>
      </w:r>
    </w:p>
    <w:p>
      <w:pPr>
        <w:pStyle w:val="Heading2"/>
      </w:pPr>
      <w:r>
        <w:t>Invariant/property tests</w:t>
      </w:r>
    </w:p>
    <w:p>
      <w:r>
        <w:t>At minimum:</w:t>
      </w:r>
    </w:p>
    <w:p>
      <w:pPr>
        <w:pStyle w:val="ListBullet"/>
      </w:pPr>
      <w:r>
        <w:rPr>
          <w:rFonts w:ascii="DejaVu Sans Mono" w:hAnsi="DejaVu Sans Mono"/>
          <w:sz w:val="17"/>
        </w:rPr>
        <w:t>0 &lt; HHI &lt;= 1</w:t>
      </w:r>
      <w:r>
        <w:t xml:space="preserve"> for valid positive broker sets;</w:t>
      </w:r>
    </w:p>
    <w:p>
      <w:pPr>
        <w:pStyle w:val="ListBullet"/>
      </w:pPr>
      <w:r>
        <w:rPr>
          <w:rFonts w:ascii="DejaVu Sans Mono" w:hAnsi="DejaVu Sans Mono"/>
          <w:sz w:val="17"/>
        </w:rPr>
        <w:t>1 &lt;= effective_brokers &lt;= raw_active_broker_count</w:t>
      </w:r>
      <w:r>
        <w:t xml:space="preserve"> within tolerance;</w:t>
      </w:r>
    </w:p>
    <w:p>
      <w:pPr>
        <w:pStyle w:val="ListBullet"/>
      </w:pPr>
      <w:r>
        <w:rPr>
          <w:rFonts w:ascii="DejaVu Sans Mono" w:hAnsi="DejaVu Sans Mono"/>
          <w:sz w:val="17"/>
        </w:rPr>
        <w:t>0 &lt; CR5 &lt;= 1</w:t>
      </w:r>
      <w:r>
        <w:t>;</w:t>
      </w:r>
    </w:p>
    <w:p>
      <w:pPr>
        <w:pStyle w:val="ListBullet"/>
      </w:pPr>
      <w:r>
        <w:t>free-float market cap &lt;= headline market cap for ratio &lt;= 1;</w:t>
      </w:r>
    </w:p>
    <w:p>
      <w:pPr>
        <w:pStyle w:val="ListBullet"/>
      </w:pPr>
      <w:r>
        <w:t>deterministic metrics for identical normalized inputs;</w:t>
      </w:r>
    </w:p>
    <w:p>
      <w:pPr>
        <w:pStyle w:val="ListBullet"/>
      </w:pPr>
      <w:r>
        <w:t>permutation of broker rows does not change HHI/CR5.</w:t>
      </w:r>
    </w:p>
    <w:p>
      <w:pPr>
        <w:pStyle w:val="Heading2"/>
      </w:pPr>
      <w:r>
        <w:t>Integration tests</w:t>
      </w:r>
    </w:p>
    <w:p>
      <w:pPr>
        <w:pStyle w:val="ListBullet"/>
      </w:pPr>
      <w:r>
        <w:t>migrations on temporary PostgreSQL database;</w:t>
      </w:r>
    </w:p>
    <w:p>
      <w:pPr>
        <w:pStyle w:val="ListBullet"/>
      </w:pPr>
      <w:r>
        <w:t>repository upsert/idempotency;</w:t>
      </w:r>
    </w:p>
    <w:p>
      <w:pPr>
        <w:pStyle w:val="ListBullet"/>
      </w:pPr>
      <w:r>
        <w:t>provider fixture -&gt; normalization -&gt; metric snapshot;</w:t>
      </w:r>
    </w:p>
    <w:p>
      <w:pPr>
        <w:pStyle w:val="ListBullet"/>
      </w:pPr>
      <w:r>
        <w:t>failed radar build leaves prior completed snapshot readable;</w:t>
      </w:r>
    </w:p>
    <w:p>
      <w:pPr>
        <w:pStyle w:val="ListBullet"/>
      </w:pPr>
      <w:r>
        <w:t>concurrent build lease prevents duplicate build;</w:t>
      </w:r>
    </w:p>
    <w:p>
      <w:pPr>
        <w:pStyle w:val="ListBullet"/>
      </w:pPr>
      <w:r>
        <w:t>API uses DB and does not call provider on read path.</w:t>
      </w:r>
    </w:p>
    <w:p>
      <w:pPr>
        <w:pStyle w:val="Heading2"/>
      </w:pPr>
      <w:r>
        <w:t>Frontend tests</w:t>
      </w:r>
    </w:p>
    <w:p>
      <w:pPr>
        <w:pStyle w:val="ListBullet"/>
      </w:pPr>
      <w:r>
        <w:t>radar states;</w:t>
      </w:r>
    </w:p>
    <w:p>
      <w:pPr>
        <w:pStyle w:val="ListBullet"/>
      </w:pPr>
      <w:r>
        <w:t>filters/sorting;</w:t>
      </w:r>
    </w:p>
    <w:p>
      <w:pPr>
        <w:pStyle w:val="ListBullet"/>
      </w:pPr>
      <w:r>
        <w:t>null handling;</w:t>
      </w:r>
    </w:p>
    <w:p>
      <w:pPr>
        <w:pStyle w:val="ListBullet"/>
      </w:pPr>
      <w:r>
        <w:t>detail rendering;</w:t>
      </w:r>
    </w:p>
    <w:p>
      <w:pPr>
        <w:pStyle w:val="ListBullet"/>
      </w:pPr>
      <w:r>
        <w:t>compare selection limits;</w:t>
      </w:r>
    </w:p>
    <w:p>
      <w:pPr>
        <w:pStyle w:val="ListBullet"/>
      </w:pPr>
      <w:r>
        <w:t>methodology navigation.</w:t>
      </w:r>
    </w:p>
    <w:p>
      <w:pPr>
        <w:pStyle w:val="Heading2"/>
      </w:pPr>
      <w:r>
        <w:t>End-to-end smoke test</w:t>
      </w:r>
    </w:p>
    <w:p>
      <w:pPr>
        <w:ind w:left="0"/>
      </w:pPr>
      <w:r>
        <w:t>1. Start PostgreSQL, API, and web.</w:t>
      </w:r>
    </w:p>
    <w:p>
      <w:pPr>
        <w:ind w:left="0"/>
      </w:pPr>
      <w:r>
        <w:t>2. Load recorded provider fixtures or local seed data.</w:t>
      </w:r>
    </w:p>
    <w:p>
      <w:pPr>
        <w:ind w:left="0"/>
      </w:pPr>
      <w:r>
        <w:t>3. Build one radar date.</w:t>
      </w:r>
    </w:p>
    <w:p>
      <w:pPr>
        <w:ind w:left="0"/>
      </w:pPr>
      <w:r>
        <w:t>4. Open radar.</w:t>
      </w:r>
    </w:p>
    <w:p>
      <w:pPr>
        <w:ind w:left="0"/>
      </w:pPr>
      <w:r>
        <w:t>5. Open stock detail.</w:t>
      </w:r>
    </w:p>
    <w:p>
      <w:pPr>
        <w:ind w:left="0"/>
      </w:pPr>
      <w:r>
        <w:t>6. Compare stocks.</w:t>
      </w:r>
    </w:p>
    <w:p>
      <w:pPr>
        <w:ind w:left="0"/>
      </w:pPr>
      <w:r>
        <w:t>7. Disable external network/provider configuration.</w:t>
      </w:r>
    </w:p>
    <w:p>
      <w:pPr>
        <w:ind w:left="0"/>
      </w:pPr>
      <w:r>
        <w:t>8. Repeat read flow successfully.</w:t>
      </w:r>
    </w:p>
    <w:p>
      <w:pPr>
        <w:pStyle w:val="Heading1"/>
      </w:pPr>
      <w:r>
        <w:t>18. M0 acceptance criteria</w:t>
      </w:r>
    </w:p>
    <w:p>
      <w:r>
        <w:t>Data feasibility passes only when:</w:t>
      </w:r>
    </w:p>
    <w:p>
      <w:pPr>
        <w:ind w:left="0"/>
      </w:pPr>
      <w:r>
        <w:t>1. free-float coverage is usable for chosen samples;</w:t>
      </w:r>
    </w:p>
    <w:p>
      <w:pPr>
        <w:ind w:left="0"/>
      </w:pPr>
      <w:r>
        <w:t>2. market-cap, price, volume, and traded-value units are manually verified;</w:t>
      </w:r>
    </w:p>
    <w:p>
      <w:pPr>
        <w:ind w:left="0"/>
      </w:pPr>
      <w:r>
        <w:t>3. volume is confirmed as shares or converted correctly from lots;</w:t>
      </w:r>
    </w:p>
    <w:p>
      <w:pPr>
        <w:ind w:left="0"/>
      </w:pPr>
      <w:r>
        <w:t>4. broker rows produce plausible totals and concentration values;</w:t>
      </w:r>
    </w:p>
    <w:p>
      <w:pPr>
        <w:ind w:left="0"/>
      </w:pPr>
      <w:r>
        <w:t>5. foreign-flow sign and currency units are verified;</w:t>
      </w:r>
    </w:p>
    <w:p>
      <w:pPr>
        <w:ind w:left="0"/>
      </w:pPr>
      <w:r>
        <w:t>6. source dates align sufficiently for the intended metric;</w:t>
      </w:r>
    </w:p>
    <w:p>
      <w:pPr>
        <w:ind w:left="0"/>
      </w:pPr>
      <w:r>
        <w:t>7. provider quota/cost behavior is understood enough to budget ingestion;</w:t>
      </w:r>
    </w:p>
    <w:p>
      <w:pPr>
        <w:ind w:left="0"/>
      </w:pPr>
      <w:r>
        <w:t>8. all unit assumptions are documented in a fixture note.</w:t>
      </w:r>
    </w:p>
    <w:p>
      <w:r>
        <w:t>If one of these fails, the affected metric is removed or marked unavailable. Data is not coerced until the specification becomes true.</w:t>
      </w:r>
    </w:p>
    <w:p>
      <w:pPr>
        <w:pStyle w:val="Heading1"/>
      </w:pPr>
      <w:r>
        <w:t>19. M1 acceptance criteria</w:t>
      </w:r>
    </w:p>
    <w:p>
      <w:r>
        <w:t>M1 is accepted when:</w:t>
      </w:r>
    </w:p>
    <w:p>
      <w:pPr>
        <w:ind w:left="0"/>
      </w:pPr>
      <w:r>
        <w:t>1. real or recorded source data can build a completed radar snapshot;</w:t>
      </w:r>
    </w:p>
    <w:p>
      <w:pPr>
        <w:ind w:left="0"/>
      </w:pPr>
      <w:r>
        <w:t>2. at least 10 securities display valid structural metrics;</w:t>
      </w:r>
    </w:p>
    <w:p>
      <w:pPr>
        <w:ind w:left="0"/>
      </w:pPr>
      <w:r>
        <w:t>3. all core formulas have unit and invariant tests;</w:t>
      </w:r>
    </w:p>
    <w:p>
      <w:pPr>
        <w:ind w:left="0"/>
      </w:pPr>
      <w:r>
        <w:t>4. API reads are database-backed;</w:t>
      </w:r>
    </w:p>
    <w:p>
      <w:pPr>
        <w:ind w:left="0"/>
      </w:pPr>
      <w:r>
        <w:t>5. detail and compare use common metric definitions;</w:t>
      </w:r>
    </w:p>
    <w:p>
      <w:pPr>
        <w:ind w:left="0"/>
      </w:pPr>
      <w:r>
        <w:t>6. metric/classification versions are persisted;</w:t>
      </w:r>
    </w:p>
    <w:p>
      <w:pPr>
        <w:ind w:left="0"/>
      </w:pPr>
      <w:r>
        <w:t>7. historical snapshots are immutable once completed;</w:t>
      </w:r>
    </w:p>
    <w:p>
      <w:pPr>
        <w:ind w:left="0"/>
      </w:pPr>
      <w:r>
        <w:t>8. missing/invalid values remain explicit;</w:t>
      </w:r>
    </w:p>
    <w:p>
      <w:pPr>
        <w:ind w:left="0"/>
      </w:pPr>
      <w:r>
        <w:t>9. failed builds do not replace completed data;</w:t>
      </w:r>
    </w:p>
    <w:p>
      <w:pPr>
        <w:ind w:left="0"/>
      </w:pPr>
      <w:r>
        <w:t>10. provider key is absent from browser artifacts and logs;</w:t>
      </w:r>
    </w:p>
    <w:p>
      <w:pPr>
        <w:ind w:left="0"/>
      </w:pPr>
      <w:r>
        <w:t>11. application can start through documented Docker/local commands;</w:t>
      </w:r>
    </w:p>
    <w:p>
      <w:pPr>
        <w:ind w:left="0"/>
      </w:pPr>
      <w:r>
        <w:t>12. methodology is visible from the UI.</w:t>
      </w:r>
    </w:p>
    <w:p>
      <w:pPr>
        <w:pStyle w:val="Heading1"/>
      </w:pPr>
      <w:r>
        <w:t>20. Change control</w:t>
      </w:r>
    </w:p>
    <w:p>
      <w:r>
        <w:t>M0/M1 requirements may change only when:</w:t>
      </w:r>
    </w:p>
    <w:p>
      <w:pPr>
        <w:pStyle w:val="ListBullet"/>
      </w:pPr>
      <w:r>
        <w:t>actual source payloads invalidate a data assumption;</w:t>
      </w:r>
    </w:p>
    <w:p>
      <w:pPr>
        <w:pStyle w:val="ListBullet"/>
      </w:pPr>
      <w:r>
        <w:t>correctness/security requires a change;</w:t>
      </w:r>
    </w:p>
    <w:p>
      <w:pPr>
        <w:pStyle w:val="ListBullet"/>
      </w:pPr>
      <w:r>
        <w:t>implementation complexity is materially higher than expected and scope reduction preserves the core product.</w:t>
      </w:r>
    </w:p>
    <w:p>
      <w:r>
        <w:t>New product features belong in later milestones, not in M1 by enthusiasm alone.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SignalDesk  •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