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color w:val="000000"/>
          <w:sz w:val="40"/>
        </w:rPr>
        <w:t>Early Warning Risiko Dropout Mahasiswa pada Minggu Keempat Menggunakan Supervised Learning dan Knowledge-Based Risk Layer pada Open University Learning Analytics Dataset</w:t>
      </w:r>
    </w:p>
    <w:tbl>
      <w:tblPr>
        <w:tblW w:type="dxa" w:w="10260"/>
        <w:jc w:val="center"/>
        <w:tblLayout w:type="fixed"/>
        <w:tblLook w:firstColumn="1" w:firstRow="1" w:lastColumn="0" w:lastRow="0" w:noHBand="0" w:noVBand="1" w:val="04A0"/>
      </w:tblPr>
      <w:tblGrid>
        <w:gridCol w:w="3420"/>
        <w:gridCol w:w="3420"/>
        <w:gridCol w:w="3420"/>
      </w:tblGrid>
      <w:tr>
        <w:trPr>
          <w:tblHeader/>
        </w:trPr>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Muhammad Rizky Hajar</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riskihajar@students.amikom.ac.id</w:t>
            </w:r>
          </w:p>
        </w:tc>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Alwie Muflich</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alwiemuflich@students.amikom.ac.id</w:t>
            </w:r>
          </w:p>
        </w:tc>
        <w:tc>
          <w:tcPr>
            <w:tcW w:type="dxa" w:w="3420"/>
            <w:tcMar>
              <w:top w:w="60" w:type="dxa"/>
              <w:start w:w="80" w:type="dxa"/>
              <w:bottom w:w="60" w:type="dxa"/>
              <w:end w:w="80" w:type="dxa"/>
            </w:tcMar>
            <w:tcBorders/>
          </w:tcPr>
          <w:p>
            <w:pPr>
              <w:spacing w:after="0"/>
              <w:jc w:val="center"/>
            </w:pPr>
            <w:r>
              <w:rPr>
                <w:rFonts w:ascii="Times New Roman" w:hAnsi="Times New Roman"/>
                <w:i w:val="0"/>
                <w:color w:val="000000"/>
                <w:sz w:val="20"/>
              </w:rPr>
              <w:t>Heri Santosa</w:t>
            </w:r>
            <w:r>
              <w:rPr>
                <w:rFonts w:ascii="Times New Roman" w:hAnsi="Times New Roman"/>
                <w:i w:val="0"/>
                <w:color w:val="000000"/>
                <w:sz w:val="18"/>
              </w:rPr>
              <w:br/>
              <w:t>Department of Computer Science</w:t>
            </w:r>
            <w:r>
              <w:rPr>
                <w:rFonts w:ascii="Times New Roman" w:hAnsi="Times New Roman"/>
                <w:i w:val="0"/>
                <w:color w:val="000000"/>
                <w:sz w:val="18"/>
              </w:rPr>
              <w:br/>
              <w:t>Universitas Amikom Yogyakarta</w:t>
            </w:r>
            <w:r>
              <w:rPr>
                <w:rFonts w:ascii="Times New Roman" w:hAnsi="Times New Roman"/>
                <w:i w:val="0"/>
                <w:color w:val="000000"/>
                <w:sz w:val="18"/>
              </w:rPr>
              <w:br/>
              <w:t>Yogyakarta, Indonesia</w:t>
            </w:r>
            <w:r>
              <w:rPr>
                <w:rFonts w:ascii="Times New Roman" w:hAnsi="Times New Roman"/>
                <w:i/>
                <w:color w:val="000000"/>
                <w:sz w:val="17"/>
              </w:rPr>
              <w:br/>
              <w:t>heri.sant@students.amikom.ac.id</w:t>
            </w:r>
          </w:p>
        </w:tc>
      </w:tr>
    </w:tbl>
    <w:p>
      <w:pPr>
        <w:spacing w:before="80" w:after="140"/>
        <w:jc w:val="center"/>
      </w:pPr>
      <w:r>
        <w:rPr>
          <w:rFonts w:ascii="Times New Roman" w:hAnsi="Times New Roman"/>
          <w:b w:val="0"/>
          <w:i w:val="0"/>
          <w:color w:val="000000"/>
          <w:sz w:val="17"/>
        </w:rPr>
        <w:t>Supervisi: Dr. Andi Sunyoto, M.Kom | Dosen kelas: Robert Marco, M.T., Ph.D</w:t>
      </w:r>
    </w:p>
    <w:p>
      <w:pPr>
        <w:sectPr>
          <w:pgSz w:w="12240" w:h="15840"/>
          <w:pgMar w:top="936" w:right="936" w:bottom="936" w:left="936" w:header="432" w:footer="432" w:gutter="0"/>
          <w:cols w:space="360" w:num="1" w:equalWidth="1"/>
          <w:docGrid w:linePitch="360"/>
        </w:sectPr>
      </w:pPr>
    </w:p>
    <w:p>
      <w:pPr>
        <w:spacing w:after="80"/>
        <w:jc w:val="both"/>
      </w:pPr>
      <w:r>
        <w:rPr>
          <w:rFonts w:ascii="Times New Roman" w:hAnsi="Times New Roman"/>
          <w:b/>
          <w:i/>
          <w:color w:val="000000"/>
          <w:sz w:val="18"/>
        </w:rPr>
        <w:t xml:space="preserve">Abstract. </w:t>
      </w:r>
      <w:r>
        <w:rPr>
          <w:rFonts w:ascii="Times New Roman" w:hAnsi="Times New Roman"/>
          <w:b w:val="0"/>
          <w:i w:val="0"/>
          <w:color w:val="000000"/>
          <w:sz w:val="18"/>
        </w:rPr>
        <w:t xml:space="preserve">Dropout mahasiswa memengaruhi keberlanjutan studi, efektivitas layanan akademik, dan pengambilan keputusan institusional. Penelitian ini mengembangkan early warning risiko dropout mahasiswa pada akhir minggu keempat menggunakan Open University Learning Analytics Dataset (OULAD). Target dirumuskan sebagai klasifikasi biner, yaitu </w:t>
      </w:r>
      <w:r>
        <w:rPr>
          <w:rFonts w:ascii="Times New Roman" w:hAnsi="Times New Roman"/>
          <w:b w:val="0"/>
          <w:i/>
          <w:color w:val="000000"/>
          <w:sz w:val="18"/>
        </w:rPr>
        <w:t>AtRisk</w:t>
      </w:r>
      <w:r>
        <w:rPr>
          <w:rFonts w:ascii="Times New Roman" w:hAnsi="Times New Roman"/>
          <w:b w:val="0"/>
          <w:i w:val="0"/>
          <w:color w:val="000000"/>
          <w:sz w:val="18"/>
        </w:rPr>
        <w:t xml:space="preserve"> untuk hasil akhir </w:t>
      </w:r>
      <w:r>
        <w:rPr>
          <w:rFonts w:ascii="Times New Roman" w:hAnsi="Times New Roman"/>
          <w:b w:val="0"/>
          <w:i/>
          <w:color w:val="000000"/>
          <w:sz w:val="18"/>
        </w:rPr>
        <w:t>Withdrawn</w:t>
      </w:r>
      <w:r>
        <w:rPr>
          <w:rFonts w:ascii="Times New Roman" w:hAnsi="Times New Roman"/>
          <w:b w:val="0"/>
          <w:i w:val="0"/>
          <w:color w:val="000000"/>
          <w:sz w:val="18"/>
        </w:rPr>
        <w:t xml:space="preserve"> dan </w:t>
      </w:r>
      <w:r>
        <w:rPr>
          <w:rFonts w:ascii="Times New Roman" w:hAnsi="Times New Roman"/>
          <w:b w:val="0"/>
          <w:i/>
          <w:color w:val="000000"/>
          <w:sz w:val="18"/>
        </w:rPr>
        <w:t>Fail</w:t>
      </w:r>
      <w:r>
        <w:rPr>
          <w:rFonts w:ascii="Times New Roman" w:hAnsi="Times New Roman"/>
          <w:b w:val="0"/>
          <w:i w:val="0"/>
          <w:color w:val="000000"/>
          <w:sz w:val="18"/>
        </w:rPr>
        <w:t xml:space="preserve">, serta </w:t>
      </w:r>
      <w:r>
        <w:rPr>
          <w:rFonts w:ascii="Times New Roman" w:hAnsi="Times New Roman"/>
          <w:b w:val="0"/>
          <w:i/>
          <w:color w:val="000000"/>
          <w:sz w:val="18"/>
        </w:rPr>
        <w:t>Successful</w:t>
      </w:r>
      <w:r>
        <w:rPr>
          <w:rFonts w:ascii="Times New Roman" w:hAnsi="Times New Roman"/>
          <w:b w:val="0"/>
          <w:i w:val="0"/>
          <w:color w:val="000000"/>
          <w:sz w:val="18"/>
        </w:rPr>
        <w:t xml:space="preserve"> untuk </w:t>
      </w:r>
      <w:r>
        <w:rPr>
          <w:rFonts w:ascii="Times New Roman" w:hAnsi="Times New Roman"/>
          <w:b w:val="0"/>
          <w:i/>
          <w:color w:val="000000"/>
          <w:sz w:val="18"/>
        </w:rPr>
        <w:t>Pass</w:t>
      </w:r>
      <w:r>
        <w:rPr>
          <w:rFonts w:ascii="Times New Roman" w:hAnsi="Times New Roman"/>
          <w:b w:val="0"/>
          <w:i w:val="0"/>
          <w:color w:val="000000"/>
          <w:sz w:val="18"/>
        </w:rPr>
        <w:t xml:space="preserve"> dan </w:t>
      </w:r>
      <w:r>
        <w:rPr>
          <w:rFonts w:ascii="Times New Roman" w:hAnsi="Times New Roman"/>
          <w:b w:val="0"/>
          <w:i/>
          <w:color w:val="000000"/>
          <w:sz w:val="18"/>
        </w:rPr>
        <w:t>Distinction</w:t>
      </w:r>
      <w:r>
        <w:rPr>
          <w:rFonts w:ascii="Times New Roman" w:hAnsi="Times New Roman"/>
          <w:b w:val="0"/>
          <w:i w:val="0"/>
          <w:color w:val="000000"/>
          <w:sz w:val="18"/>
        </w:rPr>
        <w:t xml:space="preserve">. Fitur prediktor dibentuk dari data demografis, registrasi awal, assessment, dan aktivitas Virtual Learning Environment yang tersedia sampai hari ke-28. Evaluasi membandingkan Logistic Regression, Random Forest, dan XGBoost melalui hold-out test berbasis kelompok mahasiswa dan 5-fold GroupKFold. Random Forest dipilih berdasarkan recall </w:t>
      </w:r>
      <w:r>
        <w:rPr>
          <w:rFonts w:ascii="Times New Roman" w:hAnsi="Times New Roman"/>
          <w:b w:val="0"/>
          <w:i/>
          <w:color w:val="000000"/>
          <w:sz w:val="18"/>
        </w:rPr>
        <w:t>AtRisk</w:t>
      </w:r>
      <w:r>
        <w:rPr>
          <w:rFonts w:ascii="Times New Roman" w:hAnsi="Times New Roman"/>
          <w:b w:val="0"/>
          <w:i w:val="0"/>
          <w:color w:val="000000"/>
          <w:sz w:val="18"/>
        </w:rPr>
        <w:t xml:space="preserve"> cross-validation tertinggi sebesar 0,7126. Pada hold-out test, model tersebut menghasilkan accuracy 0,7592, precision 0,8032, recall 0,7172, F1-score 0,7578, dan ROC-AUC 0,8396. Knowledge-based risk layer menggabungkan prediksi model dengan empat indikator perilaku awal untuk menghasilkan level </w:t>
      </w:r>
      <w:r>
        <w:rPr>
          <w:rFonts w:ascii="Times New Roman" w:hAnsi="Times New Roman"/>
          <w:b w:val="0"/>
          <w:i/>
          <w:color w:val="000000"/>
          <w:sz w:val="18"/>
        </w:rPr>
        <w:t>High Risk</w:t>
      </w:r>
      <w:r>
        <w:rPr>
          <w:rFonts w:ascii="Times New Roman" w:hAnsi="Times New Roman"/>
          <w:b w:val="0"/>
          <w:i w:val="0"/>
          <w:color w:val="000000"/>
          <w:sz w:val="18"/>
        </w:rPr>
        <w:t xml:space="preserve">, </w:t>
      </w:r>
      <w:r>
        <w:rPr>
          <w:rFonts w:ascii="Times New Roman" w:hAnsi="Times New Roman"/>
          <w:b w:val="0"/>
          <w:i/>
          <w:color w:val="000000"/>
          <w:sz w:val="18"/>
        </w:rPr>
        <w:t>Medium Risk</w:t>
      </w:r>
      <w:r>
        <w:rPr>
          <w:rFonts w:ascii="Times New Roman" w:hAnsi="Times New Roman"/>
          <w:b w:val="0"/>
          <w:i w:val="0"/>
          <w:color w:val="000000"/>
          <w:sz w:val="18"/>
        </w:rPr>
        <w:t xml:space="preserve">, dan </w:t>
      </w:r>
      <w:r>
        <w:rPr>
          <w:rFonts w:ascii="Times New Roman" w:hAnsi="Times New Roman"/>
          <w:b w:val="0"/>
          <w:i/>
          <w:color w:val="000000"/>
          <w:sz w:val="18"/>
        </w:rPr>
        <w:t>Low Risk</w:t>
      </w:r>
      <w:r>
        <w:rPr>
          <w:rFonts w:ascii="Times New Roman" w:hAnsi="Times New Roman"/>
          <w:b w:val="0"/>
          <w:i w:val="0"/>
          <w:color w:val="000000"/>
          <w:sz w:val="18"/>
        </w:rPr>
        <w:t xml:space="preserve"> beserta alasan dan rekomendasi intervensi. Sistem gabungan meningkatkan recall menjadi 0,7849 dengan precision 0,7039. Hasil analitik disajikan melalui dashboard statis yang memuat indikator risiko, prioritas module-presentation, sinyal dominan, dan daftar mahasiswa untuk mendukung monitoring akademik. Pendekatan ini menyediakan integrasi prediksi, interpretasi berbasis aturan, dan visual decision support untuk intervensi dini.</w:t>
      </w:r>
    </w:p>
    <w:p>
      <w:pPr>
        <w:spacing w:after="100"/>
        <w:jc w:val="both"/>
      </w:pPr>
      <w:r>
        <w:rPr>
          <w:rFonts w:ascii="Times New Roman" w:hAnsi="Times New Roman"/>
          <w:b/>
          <w:i/>
          <w:color w:val="000000"/>
          <w:sz w:val="18"/>
        </w:rPr>
        <w:t xml:space="preserve">Keywords. </w:t>
      </w:r>
      <w:r>
        <w:rPr>
          <w:rFonts w:ascii="Times New Roman" w:hAnsi="Times New Roman"/>
          <w:b w:val="0"/>
          <w:i w:val="0"/>
          <w:color w:val="000000"/>
          <w:sz w:val="18"/>
        </w:rPr>
        <w:t>student dropout, supervised learning, OULAD, early warning system, knowledge-based system, business intelligence</w:t>
      </w:r>
    </w:p>
    <w:p>
      <w:pPr>
        <w:pStyle w:val="Heading1"/>
        <w:keepNext/>
        <w:spacing w:before="160" w:after="80"/>
        <w:jc w:val="center"/>
      </w:pPr>
      <w:r>
        <w:rPr>
          <w:rFonts w:ascii="Times New Roman" w:hAnsi="Times New Roman"/>
          <w:b w:val="0"/>
          <w:color w:val="000000"/>
          <w:sz w:val="20"/>
        </w:rPr>
        <w:t>I. INTRODUCTION</w:t>
      </w:r>
    </w:p>
    <w:p>
      <w:pPr>
        <w:spacing w:before="0" w:after="60" w:line="240" w:lineRule="auto"/>
        <w:ind w:firstLine="259"/>
        <w:jc w:val="both"/>
      </w:pPr>
      <w:r>
        <w:rPr>
          <w:rFonts w:ascii="Times New Roman" w:hAnsi="Times New Roman"/>
          <w:b w:val="0"/>
          <w:i w:val="0"/>
          <w:color w:val="000000"/>
          <w:sz w:val="20"/>
        </w:rPr>
        <w:t>Dropout mahasiswa menjadi isu penting dalam pendidikan tinggi karena berkaitan dengan keberlanjutan studi, kualitas layanan akademik, dan efektivitas pengambilan keputusan institusional. Penelitian sebelumnya menunjukkan bahwa machine learning dapat memprediksi retensi mahasiswa menggunakan karakteristik sosiodemografis dan metrik engagement [1]. Early warning system memperluas manfaat prediksi dengan menempatkan identifikasi risiko pada periode ketika intervensi akademik masih dapat dilakukan [2]. Ketersediaan informasi risiko pada minggu-minggu awal memberi ruang bagi dosen, tutor, dan pengelola program studi untuk merancang tindak lanjut yang relevan.</w:t>
      </w:r>
    </w:p>
    <w:p>
      <w:pPr>
        <w:spacing w:before="0" w:after="60" w:line="240" w:lineRule="auto"/>
        <w:ind w:firstLine="259"/>
        <w:jc w:val="both"/>
      </w:pPr>
      <w:r>
        <w:rPr>
          <w:rFonts w:ascii="Times New Roman" w:hAnsi="Times New Roman"/>
          <w:b w:val="0"/>
          <w:i w:val="0"/>
          <w:color w:val="000000"/>
          <w:sz w:val="20"/>
        </w:rPr>
        <w:t>Sistem pembelajaran digital menghasilkan data akademik dan jejak aktivitas yang dapat digunakan untuk membaca engagement mahasiswa. Data tersebut mencakup interaksi dengan Virtual Learning Environment (VLE), partisipasi assessment, performa penilaian, dan informasi registrasi awal. Studi mengenai digital traces memperlihatkan bahwa pola aktivitas Learning Management System dapat membantu memahami variasi performa dan risiko mahasiswa [3]. Open University Learning Analytics Dataset (OULAD) menyediakan data tersebut dalam struktur relasional yang mencakup profil mahasiswa, assessment, registrasi, dan lebih dari sepuluh juta catatan aktivitas VLE [4].</w:t>
      </w:r>
    </w:p>
    <w:p>
      <w:pPr>
        <w:spacing w:before="0" w:after="60" w:line="240" w:lineRule="auto"/>
        <w:ind w:firstLine="259"/>
        <w:jc w:val="both"/>
      </w:pPr>
      <w:r>
        <w:rPr>
          <w:rFonts w:ascii="Times New Roman" w:hAnsi="Times New Roman"/>
          <w:b w:val="0"/>
          <w:i w:val="0"/>
          <w:color w:val="000000"/>
          <w:sz w:val="20"/>
        </w:rPr>
        <w:t>Nilai prediktif suatu model bergantung pada kesesuaian data dengan waktu keputusan. Penggunaan aktivitas seluruh semester atau status unregistration menghasilkan informasi yang kuat untuk klasifikasi retrospektif, sedangkan early warning memerlukan fitur yang telah tersedia pada waktu prediksi. Penelitian ini menggunakan cut-off hari ke-28 untuk merepresentasikan akhir minggu keempat. Assessment dan aktivitas VLE setelah cut-off dikeluarkan dari fitur, sedangkan status unregistration diperlakukan sebagai informasi masa depan. Pembatasan temporal tersebut menghasilkan estimasi performa yang lebih dekat dengan kondisi intervensi dini.</w:t>
      </w:r>
    </w:p>
    <w:p>
      <w:pPr>
        <w:spacing w:before="0" w:after="60" w:line="240" w:lineRule="auto"/>
        <w:ind w:firstLine="259"/>
        <w:jc w:val="both"/>
      </w:pPr>
      <w:r>
        <w:rPr>
          <w:rFonts w:ascii="Times New Roman" w:hAnsi="Times New Roman"/>
          <w:b w:val="0"/>
          <w:i w:val="0"/>
          <w:color w:val="000000"/>
          <w:sz w:val="20"/>
        </w:rPr>
        <w:t>Literatur menunjukkan bahwa kemampuan mendeteksi mahasiswa berisiko perlu dihubungkan dengan proses tindak lanjut agar memberi dampak institusional [2]. Model machine learning menghasilkan kelas dan probabilitas, sedangkan pemangku kepentingan memerlukan alasan risiko, prioritas, dan rekomendasi yang dapat dibaca secara operasional. Kebutuhan tersebut membentuk research gap pada integrasi antara evaluasi model, interpretasi berbasis aturan, dan penyajian visual untuk decision support.</w:t>
      </w:r>
    </w:p>
    <w:p>
      <w:pPr>
        <w:spacing w:before="0" w:after="60" w:line="240" w:lineRule="auto"/>
        <w:ind w:firstLine="259"/>
        <w:jc w:val="both"/>
      </w:pPr>
      <w:r>
        <w:rPr>
          <w:rFonts w:ascii="Times New Roman" w:hAnsi="Times New Roman"/>
          <w:b w:val="0"/>
          <w:i w:val="0"/>
          <w:color w:val="000000"/>
          <w:sz w:val="20"/>
        </w:rPr>
        <w:t>Penelitian ini bertujuan mengembangkan klasifikasi biner risiko dropout mahasiswa pada minggu keempat, mengevaluasi tiga algoritma supervised learning, dan mengintegrasikan model terpilih dengan knowledge-based risk layer. Hasil sistem diterjemahkan menjadi dashboard Business Intelligence untuk monitoring risiko dan prioritas intervensi akademik.</w:t>
      </w:r>
    </w:p>
    <w:p>
      <w:pPr>
        <w:spacing w:before="0" w:after="60" w:line="240" w:lineRule="auto"/>
        <w:ind w:firstLine="259"/>
        <w:jc w:val="both"/>
      </w:pPr>
      <w:r>
        <w:rPr>
          <w:rFonts w:ascii="Times New Roman" w:hAnsi="Times New Roman"/>
          <w:b w:val="0"/>
          <w:i w:val="0"/>
          <w:color w:val="000000"/>
          <w:sz w:val="20"/>
        </w:rPr>
        <w:t xml:space="preserve">Kontribusi penelitian terdiri atas empat bagian. Pertama, penelitian membentuk dataset early warning pada unit student-module-presentation dengan cut-off hari ke-28. Kedua, evaluasi menggunakan pemisahan berbasis </w:t>
      </w:r>
      <w:r>
        <w:rPr>
          <w:rFonts w:ascii="Times New Roman" w:hAnsi="Times New Roman"/>
          <w:b w:val="0"/>
          <w:i/>
          <w:color w:val="000000"/>
          <w:sz w:val="20"/>
        </w:rPr>
        <w:t>id_student</w:t>
      </w:r>
      <w:r>
        <w:rPr>
          <w:rFonts w:ascii="Times New Roman" w:hAnsi="Times New Roman"/>
          <w:b w:val="0"/>
          <w:i w:val="0"/>
          <w:color w:val="000000"/>
          <w:sz w:val="20"/>
        </w:rPr>
        <w:t xml:space="preserve"> untuk menjaga independensi mahasiswa antara data pelatihan dan pengujian. Ketiga, knowledge-based risk layer menghasilkan level, alasan risiko, dan rekomendasi berdasarkan prediksi model serta perilaku awal. Keempat, dashboard mengubah keluaran analitik menjadi indikator yang mendukung keputusan pimpinan akademik, program studi, tutor, dosen wali, dan tim konseling.</w:t>
      </w:r>
    </w:p>
    <w:p>
      <w:pPr>
        <w:pStyle w:val="Heading1"/>
        <w:keepNext/>
        <w:spacing w:before="160" w:after="80"/>
        <w:jc w:val="center"/>
      </w:pPr>
      <w:r>
        <w:rPr>
          <w:rFonts w:ascii="Times New Roman" w:hAnsi="Times New Roman"/>
          <w:b w:val="0"/>
          <w:color w:val="000000"/>
          <w:sz w:val="20"/>
        </w:rPr>
        <w:t>II. RELATED WORKS</w:t>
      </w:r>
    </w:p>
    <w:p>
      <w:pPr>
        <w:spacing w:before="0" w:after="60" w:line="240" w:lineRule="auto"/>
        <w:ind w:firstLine="259"/>
        <w:jc w:val="both"/>
      </w:pPr>
      <w:r>
        <w:rPr>
          <w:rFonts w:ascii="Times New Roman" w:hAnsi="Times New Roman"/>
          <w:b w:val="0"/>
          <w:i w:val="0"/>
          <w:color w:val="000000"/>
          <w:sz w:val="20"/>
        </w:rPr>
        <w:t>Penelitian student dropout analytics memanfaatkan data akademik, sosiodemografis, dan aktivitas digital untuk memprediksi keberlanjutan studi. Informasi awal seperti karakteristik sosiodemografis, riwayat akademik, dan engagement digital memiliki nilai prediktif terhadap retensi mahasiswa [1]. Pendekatan hybrid berbasis digital educational history juga menunjukkan manfaat integrasi beberapa sumber data untuk identifikasi mahasiswa berisiko secara dini [5]. Kedua arah penelitian tersebut menempatkan risiko dropout sebagai hasil interaksi faktor akademik, perilaku belajar, dan konteks mahasiswa.</w:t>
      </w:r>
    </w:p>
    <w:p>
      <w:pPr>
        <w:spacing w:before="0" w:after="60" w:line="240" w:lineRule="auto"/>
        <w:ind w:firstLine="259"/>
        <w:jc w:val="both"/>
      </w:pPr>
      <w:r>
        <w:rPr>
          <w:rFonts w:ascii="Times New Roman" w:hAnsi="Times New Roman"/>
          <w:b w:val="0"/>
          <w:i w:val="0"/>
          <w:color w:val="000000"/>
          <w:sz w:val="20"/>
        </w:rPr>
        <w:t>Early warning system mengarahkan hasil prediksi pada proses intervensi. Plak et al. menunjukkan bahwa informasi risiko perlu disertai rancangan tindak lanjut agar dapat memengaruhi hasil akademik [2]. Temuan tersebut menegaskan peran proses bisnis, kapasitas intervensi, dan komunikasi informasi kepada konselor atau pengelola akademik. Model dengan recall tinggi memberi cakupan deteksi yang luas, sedangkan precision menentukan proporsi alarm yang relevan untuk ditindaklanjuti.</w:t>
      </w:r>
    </w:p>
    <w:p>
      <w:pPr>
        <w:spacing w:before="0" w:after="60" w:line="240" w:lineRule="auto"/>
        <w:ind w:firstLine="259"/>
        <w:jc w:val="both"/>
      </w:pPr>
      <w:r>
        <w:rPr>
          <w:rFonts w:ascii="Times New Roman" w:hAnsi="Times New Roman"/>
          <w:b w:val="0"/>
          <w:i w:val="0"/>
          <w:color w:val="000000"/>
          <w:sz w:val="20"/>
        </w:rPr>
        <w:t>Aktivitas Learning Management System atau VLE banyak digunakan sebagai sumber fitur karena merepresentasikan pola engagement mahasiswa. Data klik, frekuensi aktivitas, hari aktif, jenis materi, dan pola interaksi dapat mendukung analisis performa akademik [3]. XGBoost telah digunakan untuk early warning berbasis data pra-enrollment [6], AutoML mendukung eksplorasi educational analytics [7], dan statistical learning serta deep learning digunakan pada precision education [8]. Random Forest juga sesuai untuk data tabular yang memuat kombinasi fitur akademik dan sosiodemografis [9].</w:t>
      </w:r>
    </w:p>
    <w:p>
      <w:pPr>
        <w:spacing w:before="0" w:after="60" w:line="240" w:lineRule="auto"/>
        <w:ind w:firstLine="259"/>
        <w:jc w:val="both"/>
      </w:pPr>
      <w:r>
        <w:rPr>
          <w:rFonts w:ascii="Times New Roman" w:hAnsi="Times New Roman"/>
          <w:b w:val="0"/>
          <w:i w:val="0"/>
          <w:color w:val="000000"/>
          <w:sz w:val="20"/>
        </w:rPr>
        <w:t>Penelitian lain menunjukkan hubungan antara personality, engagement, pola penggunaan LMS, dan performa belajar [10]. Analisis lintas institusi memperluas cakupan prediksi dropout pada level sistem pendidikan tinggi [11]. Keragaman pendekatan tersebut menunjukkan bahwa pemilihan fitur, horizon waktu, dan konteks institusi menentukan interpretasi performa model.</w:t>
      </w:r>
    </w:p>
    <w:p>
      <w:pPr>
        <w:spacing w:before="0" w:after="60" w:line="240" w:lineRule="auto"/>
        <w:ind w:firstLine="259"/>
        <w:jc w:val="both"/>
      </w:pPr>
      <w:r>
        <w:rPr>
          <w:rFonts w:ascii="Times New Roman" w:hAnsi="Times New Roman"/>
          <w:b w:val="0"/>
          <w:i w:val="0"/>
          <w:color w:val="000000"/>
          <w:sz w:val="20"/>
        </w:rPr>
        <w:t>Penelitian ini mengambil posisi pada integrasi tiga komponen. Supervised learning digunakan untuk menghasilkan probabilitas risiko, knowledge-based risk layer menerjemahkan probabilitas dan sinyal perilaku menjadi alasan serta level prioritas, dan dashboard menyajikan hasil sebagai visual decision support. Cut-off minggu keempat menjaga kesesuaian temporal antara fitur dan waktu intervensi. Integrasi tersebut menghubungkan evaluasi teknis dengan kebutuhan monitoring akademik yang dapat ditindaklanjuti.</w:t>
      </w:r>
    </w:p>
    <w:p>
      <w:pPr>
        <w:pStyle w:val="Heading1"/>
        <w:keepNext/>
        <w:spacing w:before="160" w:after="80"/>
        <w:jc w:val="center"/>
      </w:pPr>
      <w:r>
        <w:rPr>
          <w:rFonts w:ascii="Times New Roman" w:hAnsi="Times New Roman"/>
          <w:b w:val="0"/>
          <w:color w:val="000000"/>
          <w:sz w:val="20"/>
        </w:rPr>
        <w:t>III. METHODOLOGY</w:t>
      </w:r>
    </w:p>
    <w:p>
      <w:pPr>
        <w:pStyle w:val="Heading2"/>
        <w:keepNext/>
        <w:spacing w:before="100" w:after="40"/>
        <w:jc w:val="left"/>
      </w:pPr>
      <w:r>
        <w:rPr>
          <w:rFonts w:ascii="Times New Roman" w:hAnsi="Times New Roman"/>
          <w:i/>
          <w:color w:val="000000"/>
          <w:sz w:val="20"/>
        </w:rPr>
        <w:t>A. Research Design</w:t>
      </w:r>
    </w:p>
    <w:p>
      <w:pPr>
        <w:spacing w:before="0" w:after="60" w:line="240" w:lineRule="auto"/>
        <w:ind w:firstLine="259"/>
        <w:jc w:val="both"/>
      </w:pPr>
      <w:r>
        <w:rPr>
          <w:rFonts w:ascii="Times New Roman" w:hAnsi="Times New Roman"/>
          <w:b w:val="0"/>
          <w:i w:val="0"/>
          <w:color w:val="000000"/>
          <w:sz w:val="20"/>
        </w:rPr>
        <w:t xml:space="preserve">Penelitian menggunakan desain supervised binary classification untuk mendeteksi risiko dropout pada akhir minggu keempat. Alur penelitian meliputi pengambilan dan audit OULAD, pembentukan fitur dengan cut-off temporal, exploratory data analysis, pemisahan data berbasis mahasiswa, pelatihan dan evaluasi model, pembentukan knowledge-based risk layer, serta penyajian indikator melalui dashboard Business Intelligence. Seluruh eksperimen menggunakan </w:t>
      </w:r>
      <w:r>
        <w:rPr>
          <w:rFonts w:ascii="Times New Roman" w:hAnsi="Times New Roman"/>
          <w:b w:val="0"/>
          <w:i/>
          <w:color w:val="000000"/>
          <w:sz w:val="20"/>
        </w:rPr>
        <w:t>random_state=42</w:t>
      </w:r>
      <w:r>
        <w:rPr>
          <w:rFonts w:ascii="Times New Roman" w:hAnsi="Times New Roman"/>
          <w:b w:val="0"/>
          <w:i w:val="0"/>
          <w:color w:val="000000"/>
          <w:sz w:val="20"/>
        </w:rPr>
        <w:t xml:space="preserve"> untuk mendukung reproduktibilitas.</w:t>
      </w:r>
    </w:p>
    <w:p>
      <w:pPr>
        <w:pStyle w:val="Heading2"/>
        <w:keepNext/>
        <w:spacing w:before="100" w:after="40"/>
        <w:jc w:val="left"/>
      </w:pPr>
      <w:r>
        <w:rPr>
          <w:rFonts w:ascii="Times New Roman" w:hAnsi="Times New Roman"/>
          <w:i/>
          <w:color w:val="000000"/>
          <w:sz w:val="20"/>
        </w:rPr>
        <w:t>B. Dataset and Unit of Analysis</w:t>
      </w:r>
    </w:p>
    <w:p>
      <w:pPr>
        <w:spacing w:before="0" w:after="60" w:line="240" w:lineRule="auto"/>
        <w:ind w:firstLine="259"/>
        <w:jc w:val="both"/>
      </w:pPr>
      <w:r>
        <w:rPr>
          <w:rFonts w:ascii="Times New Roman" w:hAnsi="Times New Roman"/>
          <w:b w:val="0"/>
          <w:i w:val="0"/>
          <w:color w:val="000000"/>
          <w:sz w:val="20"/>
        </w:rPr>
        <w:t xml:space="preserve">Dataset yang digunakan adalah Open University Learning Analytics Dataset (OULAD) [4]. Arsip data diperoleh melalui UCI Machine Learning Repository dan berisi tabel </w:t>
      </w:r>
      <w:r>
        <w:rPr>
          <w:rFonts w:ascii="Times New Roman" w:hAnsi="Times New Roman"/>
          <w:b w:val="0"/>
          <w:i/>
          <w:color w:val="000000"/>
          <w:sz w:val="20"/>
        </w:rPr>
        <w:t>studentInfo</w:t>
      </w:r>
      <w:r>
        <w:rPr>
          <w:rFonts w:ascii="Times New Roman" w:hAnsi="Times New Roman"/>
          <w:b w:val="0"/>
          <w:i w:val="0"/>
          <w:color w:val="000000"/>
          <w:sz w:val="20"/>
        </w:rPr>
        <w:t xml:space="preserve">, </w:t>
      </w:r>
      <w:r>
        <w:rPr>
          <w:rFonts w:ascii="Times New Roman" w:hAnsi="Times New Roman"/>
          <w:b w:val="0"/>
          <w:i/>
          <w:color w:val="000000"/>
          <w:sz w:val="20"/>
        </w:rPr>
        <w:t>studentRegistration</w:t>
      </w:r>
      <w:r>
        <w:rPr>
          <w:rFonts w:ascii="Times New Roman" w:hAnsi="Times New Roman"/>
          <w:b w:val="0"/>
          <w:i w:val="0"/>
          <w:color w:val="000000"/>
          <w:sz w:val="20"/>
        </w:rPr>
        <w:t xml:space="preserve">, </w:t>
      </w:r>
      <w:r>
        <w:rPr>
          <w:rFonts w:ascii="Times New Roman" w:hAnsi="Times New Roman"/>
          <w:b w:val="0"/>
          <w:i/>
          <w:color w:val="000000"/>
          <w:sz w:val="20"/>
        </w:rPr>
        <w:t>assessments</w:t>
      </w:r>
      <w:r>
        <w:rPr>
          <w:rFonts w:ascii="Times New Roman" w:hAnsi="Times New Roman"/>
          <w:b w:val="0"/>
          <w:i w:val="0"/>
          <w:color w:val="000000"/>
          <w:sz w:val="20"/>
        </w:rPr>
        <w:t xml:space="preserve">, </w:t>
      </w:r>
      <w:r>
        <w:rPr>
          <w:rFonts w:ascii="Times New Roman" w:hAnsi="Times New Roman"/>
          <w:b w:val="0"/>
          <w:i/>
          <w:color w:val="000000"/>
          <w:sz w:val="20"/>
        </w:rPr>
        <w:t>studentAssessment</w:t>
      </w:r>
      <w:r>
        <w:rPr>
          <w:rFonts w:ascii="Times New Roman" w:hAnsi="Times New Roman"/>
          <w:b w:val="0"/>
          <w:i w:val="0"/>
          <w:color w:val="000000"/>
          <w:sz w:val="20"/>
        </w:rPr>
        <w:t xml:space="preserve">, </w:t>
      </w:r>
      <w:r>
        <w:rPr>
          <w:rFonts w:ascii="Times New Roman" w:hAnsi="Times New Roman"/>
          <w:b w:val="0"/>
          <w:i/>
          <w:color w:val="000000"/>
          <w:sz w:val="20"/>
        </w:rPr>
        <w:t>studentVle</w:t>
      </w:r>
      <w:r>
        <w:rPr>
          <w:rFonts w:ascii="Times New Roman" w:hAnsi="Times New Roman"/>
          <w:b w:val="0"/>
          <w:i w:val="0"/>
          <w:color w:val="000000"/>
          <w:sz w:val="20"/>
        </w:rPr>
        <w:t xml:space="preserve">, </w:t>
      </w:r>
      <w:r>
        <w:rPr>
          <w:rFonts w:ascii="Times New Roman" w:hAnsi="Times New Roman"/>
          <w:b w:val="0"/>
          <w:i/>
          <w:color w:val="000000"/>
          <w:sz w:val="20"/>
        </w:rPr>
        <w:t>courses</w:t>
      </w:r>
      <w:r>
        <w:rPr>
          <w:rFonts w:ascii="Times New Roman" w:hAnsi="Times New Roman"/>
          <w:b w:val="0"/>
          <w:i w:val="0"/>
          <w:color w:val="000000"/>
          <w:sz w:val="20"/>
        </w:rPr>
        <w:t xml:space="preserve">, dan </w:t>
      </w:r>
      <w:r>
        <w:rPr>
          <w:rFonts w:ascii="Times New Roman" w:hAnsi="Times New Roman"/>
          <w:b w:val="0"/>
          <w:i/>
          <w:color w:val="000000"/>
          <w:sz w:val="20"/>
        </w:rPr>
        <w:t>vle</w:t>
      </w:r>
      <w:r>
        <w:rPr>
          <w:rFonts w:ascii="Times New Roman" w:hAnsi="Times New Roman"/>
          <w:b w:val="0"/>
          <w:i w:val="0"/>
          <w:color w:val="000000"/>
          <w:sz w:val="20"/>
        </w:rPr>
        <w:t xml:space="preserve">. Tabel </w:t>
      </w:r>
      <w:r>
        <w:rPr>
          <w:rFonts w:ascii="Times New Roman" w:hAnsi="Times New Roman"/>
          <w:b w:val="0"/>
          <w:i/>
          <w:color w:val="000000"/>
          <w:sz w:val="20"/>
        </w:rPr>
        <w:t>studentInfo</w:t>
      </w:r>
      <w:r>
        <w:rPr>
          <w:rFonts w:ascii="Times New Roman" w:hAnsi="Times New Roman"/>
          <w:b w:val="0"/>
          <w:i w:val="0"/>
          <w:color w:val="000000"/>
          <w:sz w:val="20"/>
        </w:rPr>
        <w:t xml:space="preserve"> memuat 32.593 baris, sedangkan </w:t>
      </w:r>
      <w:r>
        <w:rPr>
          <w:rFonts w:ascii="Times New Roman" w:hAnsi="Times New Roman"/>
          <w:b w:val="0"/>
          <w:i/>
          <w:color w:val="000000"/>
          <w:sz w:val="20"/>
        </w:rPr>
        <w:t>studentVle</w:t>
      </w:r>
      <w:r>
        <w:rPr>
          <w:rFonts w:ascii="Times New Roman" w:hAnsi="Times New Roman"/>
          <w:b w:val="0"/>
          <w:i w:val="0"/>
          <w:color w:val="000000"/>
          <w:sz w:val="20"/>
        </w:rPr>
        <w:t xml:space="preserve"> memuat 10.655.280 catatan aktivitas.</w:t>
      </w:r>
    </w:p>
    <w:p>
      <w:pPr>
        <w:spacing w:before="0" w:after="60" w:line="240" w:lineRule="auto"/>
        <w:ind w:firstLine="259"/>
        <w:jc w:val="both"/>
      </w:pPr>
      <w:r>
        <w:rPr>
          <w:rFonts w:ascii="Times New Roman" w:hAnsi="Times New Roman"/>
          <w:b w:val="0"/>
          <w:i w:val="0"/>
          <w:color w:val="000000"/>
          <w:sz w:val="20"/>
        </w:rPr>
        <w:t xml:space="preserve">Unit analisis adalah satu mahasiswa pada satu kombinasi </w:t>
      </w:r>
      <w:r>
        <w:rPr>
          <w:rFonts w:ascii="Times New Roman" w:hAnsi="Times New Roman"/>
          <w:b w:val="0"/>
          <w:i/>
          <w:color w:val="000000"/>
          <w:sz w:val="20"/>
        </w:rPr>
        <w:t>code_module</w:t>
      </w:r>
      <w:r>
        <w:rPr>
          <w:rFonts w:ascii="Times New Roman" w:hAnsi="Times New Roman"/>
          <w:b w:val="0"/>
          <w:i w:val="0"/>
          <w:color w:val="000000"/>
          <w:sz w:val="20"/>
        </w:rPr>
        <w:t xml:space="preserve"> dan </w:t>
      </w:r>
      <w:r>
        <w:rPr>
          <w:rFonts w:ascii="Times New Roman" w:hAnsi="Times New Roman"/>
          <w:b w:val="0"/>
          <w:i/>
          <w:color w:val="000000"/>
          <w:sz w:val="20"/>
        </w:rPr>
        <w:t>code_presentation</w:t>
      </w:r>
      <w:r>
        <w:rPr>
          <w:rFonts w:ascii="Times New Roman" w:hAnsi="Times New Roman"/>
          <w:b w:val="0"/>
          <w:i w:val="0"/>
          <w:color w:val="000000"/>
          <w:sz w:val="20"/>
        </w:rPr>
        <w:t xml:space="preserve">. Satu baris hasil preprocessing merepresentasikan satu student-module-presentation. Struktur ini mengikuti unit label pada </w:t>
      </w:r>
      <w:r>
        <w:rPr>
          <w:rFonts w:ascii="Times New Roman" w:hAnsi="Times New Roman"/>
          <w:b w:val="0"/>
          <w:i/>
          <w:color w:val="000000"/>
          <w:sz w:val="20"/>
        </w:rPr>
        <w:t>studentInfo</w:t>
      </w:r>
      <w:r>
        <w:rPr>
          <w:rFonts w:ascii="Times New Roman" w:hAnsi="Times New Roman"/>
          <w:b w:val="0"/>
          <w:i w:val="0"/>
          <w:color w:val="000000"/>
          <w:sz w:val="20"/>
        </w:rPr>
        <w:t xml:space="preserve"> dan menjaga konsistensi penggabungan data registrasi, assessment, serta aktivitas VLE.</w:t>
      </w:r>
    </w:p>
    <w:p>
      <w:pPr>
        <w:pStyle w:val="Heading2"/>
        <w:keepNext/>
        <w:spacing w:before="100" w:after="40"/>
        <w:jc w:val="left"/>
      </w:pPr>
      <w:r>
        <w:rPr>
          <w:rFonts w:ascii="Times New Roman" w:hAnsi="Times New Roman"/>
          <w:i/>
          <w:color w:val="000000"/>
          <w:sz w:val="20"/>
        </w:rPr>
        <w:t>C. Target Label and Temporal Cut-off</w:t>
      </w:r>
    </w:p>
    <w:p>
      <w:pPr>
        <w:spacing w:before="0" w:after="60" w:line="240" w:lineRule="auto"/>
        <w:ind w:firstLine="259"/>
        <w:jc w:val="both"/>
      </w:pPr>
      <w:r>
        <w:rPr>
          <w:rFonts w:ascii="Times New Roman" w:hAnsi="Times New Roman"/>
          <w:b w:val="0"/>
          <w:i w:val="0"/>
          <w:color w:val="000000"/>
          <w:sz w:val="20"/>
        </w:rPr>
        <w:t xml:space="preserve">Target dirumuskan sebagai klasifikasi biner. Label </w:t>
      </w:r>
      <w:r>
        <w:rPr>
          <w:rFonts w:ascii="Times New Roman" w:hAnsi="Times New Roman"/>
          <w:b w:val="0"/>
          <w:i/>
          <w:color w:val="000000"/>
          <w:sz w:val="20"/>
        </w:rPr>
        <w:t>AtRisk</w:t>
      </w:r>
      <w:r>
        <w:rPr>
          <w:rFonts w:ascii="Times New Roman" w:hAnsi="Times New Roman"/>
          <w:b w:val="0"/>
          <w:i w:val="0"/>
          <w:color w:val="000000"/>
          <w:sz w:val="20"/>
        </w:rPr>
        <w:t xml:space="preserve"> diberikan kepada baris dengan </w:t>
      </w:r>
      <w:r>
        <w:rPr>
          <w:rFonts w:ascii="Times New Roman" w:hAnsi="Times New Roman"/>
          <w:b w:val="0"/>
          <w:i/>
          <w:color w:val="000000"/>
          <w:sz w:val="20"/>
        </w:rPr>
        <w:t>final_result</w:t>
      </w:r>
      <w:r>
        <w:rPr>
          <w:rFonts w:ascii="Times New Roman" w:hAnsi="Times New Roman"/>
          <w:b w:val="0"/>
          <w:i w:val="0"/>
          <w:color w:val="000000"/>
          <w:sz w:val="20"/>
        </w:rPr>
        <w:t xml:space="preserve"> berupa </w:t>
      </w:r>
      <w:r>
        <w:rPr>
          <w:rFonts w:ascii="Times New Roman" w:hAnsi="Times New Roman"/>
          <w:b w:val="0"/>
          <w:i/>
          <w:color w:val="000000"/>
          <w:sz w:val="20"/>
        </w:rPr>
        <w:t>Withdrawn</w:t>
      </w:r>
      <w:r>
        <w:rPr>
          <w:rFonts w:ascii="Times New Roman" w:hAnsi="Times New Roman"/>
          <w:b w:val="0"/>
          <w:i w:val="0"/>
          <w:color w:val="000000"/>
          <w:sz w:val="20"/>
        </w:rPr>
        <w:t xml:space="preserve"> atau </w:t>
      </w:r>
      <w:r>
        <w:rPr>
          <w:rFonts w:ascii="Times New Roman" w:hAnsi="Times New Roman"/>
          <w:b w:val="0"/>
          <w:i/>
          <w:color w:val="000000"/>
          <w:sz w:val="20"/>
        </w:rPr>
        <w:t>Fail</w:t>
      </w:r>
      <w:r>
        <w:rPr>
          <w:rFonts w:ascii="Times New Roman" w:hAnsi="Times New Roman"/>
          <w:b w:val="0"/>
          <w:i w:val="0"/>
          <w:color w:val="000000"/>
          <w:sz w:val="20"/>
        </w:rPr>
        <w:t xml:space="preserve">. Label </w:t>
      </w:r>
      <w:r>
        <w:rPr>
          <w:rFonts w:ascii="Times New Roman" w:hAnsi="Times New Roman"/>
          <w:b w:val="0"/>
          <w:i/>
          <w:color w:val="000000"/>
          <w:sz w:val="20"/>
        </w:rPr>
        <w:t>Successful</w:t>
      </w:r>
      <w:r>
        <w:rPr>
          <w:rFonts w:ascii="Times New Roman" w:hAnsi="Times New Roman"/>
          <w:b w:val="0"/>
          <w:i w:val="0"/>
          <w:color w:val="000000"/>
          <w:sz w:val="20"/>
        </w:rPr>
        <w:t xml:space="preserve"> diberikan kepada baris dengan </w:t>
      </w:r>
      <w:r>
        <w:rPr>
          <w:rFonts w:ascii="Times New Roman" w:hAnsi="Times New Roman"/>
          <w:b w:val="0"/>
          <w:i/>
          <w:color w:val="000000"/>
          <w:sz w:val="20"/>
        </w:rPr>
        <w:t>final_result</w:t>
      </w:r>
      <w:r>
        <w:rPr>
          <w:rFonts w:ascii="Times New Roman" w:hAnsi="Times New Roman"/>
          <w:b w:val="0"/>
          <w:i w:val="0"/>
          <w:color w:val="000000"/>
          <w:sz w:val="20"/>
        </w:rPr>
        <w:t xml:space="preserve"> berupa </w:t>
      </w:r>
      <w:r>
        <w:rPr>
          <w:rFonts w:ascii="Times New Roman" w:hAnsi="Times New Roman"/>
          <w:b w:val="0"/>
          <w:i/>
          <w:color w:val="000000"/>
          <w:sz w:val="20"/>
        </w:rPr>
        <w:t>Pass</w:t>
      </w:r>
      <w:r>
        <w:rPr>
          <w:rFonts w:ascii="Times New Roman" w:hAnsi="Times New Roman"/>
          <w:b w:val="0"/>
          <w:i w:val="0"/>
          <w:color w:val="000000"/>
          <w:sz w:val="20"/>
        </w:rPr>
        <w:t xml:space="preserve"> atau </w:t>
      </w:r>
      <w:r>
        <w:rPr>
          <w:rFonts w:ascii="Times New Roman" w:hAnsi="Times New Roman"/>
          <w:b w:val="0"/>
          <w:i/>
          <w:color w:val="000000"/>
          <w:sz w:val="20"/>
        </w:rPr>
        <w:t>Distinction</w:t>
      </w:r>
      <w:r>
        <w:rPr>
          <w:rFonts w:ascii="Times New Roman" w:hAnsi="Times New Roman"/>
          <w:b w:val="0"/>
          <w:i w:val="0"/>
          <w:color w:val="000000"/>
          <w:sz w:val="20"/>
        </w:rPr>
        <w:t xml:space="preserve">. Dataset terdiri atas 17.208 baris </w:t>
      </w:r>
      <w:r>
        <w:rPr>
          <w:rFonts w:ascii="Times New Roman" w:hAnsi="Times New Roman"/>
          <w:b w:val="0"/>
          <w:i/>
          <w:color w:val="000000"/>
          <w:sz w:val="20"/>
        </w:rPr>
        <w:t>AtRisk</w:t>
      </w:r>
      <w:r>
        <w:rPr>
          <w:rFonts w:ascii="Times New Roman" w:hAnsi="Times New Roman"/>
          <w:b w:val="0"/>
          <w:i w:val="0"/>
          <w:color w:val="000000"/>
          <w:sz w:val="20"/>
        </w:rPr>
        <w:t xml:space="preserve"> dan 15.385 baris </w:t>
      </w:r>
      <w:r>
        <w:rPr>
          <w:rFonts w:ascii="Times New Roman" w:hAnsi="Times New Roman"/>
          <w:b w:val="0"/>
          <w:i/>
          <w:color w:val="000000"/>
          <w:sz w:val="20"/>
        </w:rPr>
        <w:t>Successful</w:t>
      </w:r>
      <w:r>
        <w:rPr>
          <w:rFonts w:ascii="Times New Roman" w:hAnsi="Times New Roman"/>
          <w:b w:val="0"/>
          <w:i w:val="0"/>
          <w:color w:val="000000"/>
          <w:sz w:val="20"/>
        </w:rPr>
        <w:t>.</w:t>
      </w:r>
    </w:p>
    <w:p>
      <w:pPr>
        <w:spacing w:before="0" w:after="60" w:line="240" w:lineRule="auto"/>
        <w:ind w:firstLine="259"/>
        <w:jc w:val="both"/>
      </w:pPr>
      <w:r>
        <w:rPr>
          <w:rFonts w:ascii="Times New Roman" w:hAnsi="Times New Roman"/>
          <w:b w:val="0"/>
          <w:i w:val="0"/>
          <w:color w:val="000000"/>
          <w:sz w:val="20"/>
        </w:rPr>
        <w:t xml:space="preserve">Horizon early warning ditetapkan pada hari ke-28. Submission assessment dipilih dengan kondisi </w:t>
      </w:r>
      <w:r>
        <w:rPr>
          <w:rFonts w:ascii="Times New Roman" w:hAnsi="Times New Roman"/>
          <w:b w:val="0"/>
          <w:i/>
          <w:color w:val="000000"/>
          <w:sz w:val="20"/>
        </w:rPr>
        <w:t>date_submitted &lt;= 28</w:t>
      </w:r>
      <w:r>
        <w:rPr>
          <w:rFonts w:ascii="Times New Roman" w:hAnsi="Times New Roman"/>
          <w:b w:val="0"/>
          <w:i w:val="0"/>
          <w:color w:val="000000"/>
          <w:sz w:val="20"/>
        </w:rPr>
        <w:t xml:space="preserve">, sedangkan aktivitas VLE dipilih dengan kondisi </w:t>
      </w:r>
      <w:r>
        <w:rPr>
          <w:rFonts w:ascii="Times New Roman" w:hAnsi="Times New Roman"/>
          <w:b w:val="0"/>
          <w:i/>
          <w:color w:val="000000"/>
          <w:sz w:val="20"/>
        </w:rPr>
        <w:t>date &lt;= 28</w:t>
      </w:r>
      <w:r>
        <w:rPr>
          <w:rFonts w:ascii="Times New Roman" w:hAnsi="Times New Roman"/>
          <w:b w:val="0"/>
          <w:i w:val="0"/>
          <w:color w:val="000000"/>
          <w:sz w:val="20"/>
        </w:rPr>
        <w:t xml:space="preserve">. Informasi </w:t>
      </w:r>
      <w:r>
        <w:rPr>
          <w:rFonts w:ascii="Times New Roman" w:hAnsi="Times New Roman"/>
          <w:b w:val="0"/>
          <w:i/>
          <w:color w:val="000000"/>
          <w:sz w:val="20"/>
        </w:rPr>
        <w:t>date_unregistration</w:t>
      </w:r>
      <w:r>
        <w:rPr>
          <w:rFonts w:ascii="Times New Roman" w:hAnsi="Times New Roman"/>
          <w:b w:val="0"/>
          <w:i w:val="0"/>
          <w:color w:val="000000"/>
          <w:sz w:val="20"/>
        </w:rPr>
        <w:t xml:space="preserve">, </w:t>
      </w:r>
      <w:r>
        <w:rPr>
          <w:rFonts w:ascii="Times New Roman" w:hAnsi="Times New Roman"/>
          <w:b w:val="0"/>
          <w:i/>
          <w:color w:val="000000"/>
          <w:sz w:val="20"/>
        </w:rPr>
        <w:t>has_unregistration</w:t>
      </w:r>
      <w:r>
        <w:rPr>
          <w:rFonts w:ascii="Times New Roman" w:hAnsi="Times New Roman"/>
          <w:b w:val="0"/>
          <w:i w:val="0"/>
          <w:color w:val="000000"/>
          <w:sz w:val="20"/>
        </w:rPr>
        <w:t>, hasil akhir, dan aktivitas setelah hari ke-28 dikeluarkan dari fitur prediktor. Hasil akhir hanya digunakan untuk membentuk target evaluasi.</w:t>
      </w:r>
    </w:p>
    <w:p>
      <w:pPr>
        <w:pStyle w:val="Heading2"/>
        <w:keepNext/>
        <w:spacing w:before="100" w:after="40"/>
        <w:jc w:val="left"/>
      </w:pPr>
      <w:r>
        <w:rPr>
          <w:rFonts w:ascii="Times New Roman" w:hAnsi="Times New Roman"/>
          <w:i/>
          <w:color w:val="000000"/>
          <w:sz w:val="20"/>
        </w:rPr>
        <w:t>D. Feature Construction</w:t>
      </w:r>
    </w:p>
    <w:p>
      <w:pPr>
        <w:spacing w:before="0" w:after="60" w:line="240" w:lineRule="auto"/>
        <w:ind w:firstLine="259"/>
        <w:jc w:val="both"/>
      </w:pPr>
      <w:r>
        <w:rPr>
          <w:rFonts w:ascii="Times New Roman" w:hAnsi="Times New Roman"/>
          <w:b w:val="0"/>
          <w:i w:val="0"/>
          <w:color w:val="000000"/>
          <w:sz w:val="20"/>
        </w:rPr>
        <w:t xml:space="preserve">Fitur kategorikal mencakup </w:t>
      </w:r>
      <w:r>
        <w:rPr>
          <w:rFonts w:ascii="Times New Roman" w:hAnsi="Times New Roman"/>
          <w:b w:val="0"/>
          <w:i/>
          <w:color w:val="000000"/>
          <w:sz w:val="20"/>
        </w:rPr>
        <w:t>gender</w:t>
      </w:r>
      <w:r>
        <w:rPr>
          <w:rFonts w:ascii="Times New Roman" w:hAnsi="Times New Roman"/>
          <w:b w:val="0"/>
          <w:i w:val="0"/>
          <w:color w:val="000000"/>
          <w:sz w:val="20"/>
        </w:rPr>
        <w:t xml:space="preserve">, </w:t>
      </w:r>
      <w:r>
        <w:rPr>
          <w:rFonts w:ascii="Times New Roman" w:hAnsi="Times New Roman"/>
          <w:b w:val="0"/>
          <w:i/>
          <w:color w:val="000000"/>
          <w:sz w:val="20"/>
        </w:rPr>
        <w:t>region</w:t>
      </w:r>
      <w:r>
        <w:rPr>
          <w:rFonts w:ascii="Times New Roman" w:hAnsi="Times New Roman"/>
          <w:b w:val="0"/>
          <w:i w:val="0"/>
          <w:color w:val="000000"/>
          <w:sz w:val="20"/>
        </w:rPr>
        <w:t xml:space="preserve">, </w:t>
      </w:r>
      <w:r>
        <w:rPr>
          <w:rFonts w:ascii="Times New Roman" w:hAnsi="Times New Roman"/>
          <w:b w:val="0"/>
          <w:i/>
          <w:color w:val="000000"/>
          <w:sz w:val="20"/>
        </w:rPr>
        <w:t>highest_education</w:t>
      </w:r>
      <w:r>
        <w:rPr>
          <w:rFonts w:ascii="Times New Roman" w:hAnsi="Times New Roman"/>
          <w:b w:val="0"/>
          <w:i w:val="0"/>
          <w:color w:val="000000"/>
          <w:sz w:val="20"/>
        </w:rPr>
        <w:t xml:space="preserve">, </w:t>
      </w:r>
      <w:r>
        <w:rPr>
          <w:rFonts w:ascii="Times New Roman" w:hAnsi="Times New Roman"/>
          <w:b w:val="0"/>
          <w:i/>
          <w:color w:val="000000"/>
          <w:sz w:val="20"/>
        </w:rPr>
        <w:t>imd_band</w:t>
      </w:r>
      <w:r>
        <w:rPr>
          <w:rFonts w:ascii="Times New Roman" w:hAnsi="Times New Roman"/>
          <w:b w:val="0"/>
          <w:i w:val="0"/>
          <w:color w:val="000000"/>
          <w:sz w:val="20"/>
        </w:rPr>
        <w:t xml:space="preserve">, </w:t>
      </w:r>
      <w:r>
        <w:rPr>
          <w:rFonts w:ascii="Times New Roman" w:hAnsi="Times New Roman"/>
          <w:b w:val="0"/>
          <w:i/>
          <w:color w:val="000000"/>
          <w:sz w:val="20"/>
        </w:rPr>
        <w:t>age_band</w:t>
      </w:r>
      <w:r>
        <w:rPr>
          <w:rFonts w:ascii="Times New Roman" w:hAnsi="Times New Roman"/>
          <w:b w:val="0"/>
          <w:i w:val="0"/>
          <w:color w:val="000000"/>
          <w:sz w:val="20"/>
        </w:rPr>
        <w:t xml:space="preserve">, </w:t>
      </w:r>
      <w:r>
        <w:rPr>
          <w:rFonts w:ascii="Times New Roman" w:hAnsi="Times New Roman"/>
          <w:b w:val="0"/>
          <w:i/>
          <w:color w:val="000000"/>
          <w:sz w:val="20"/>
        </w:rPr>
        <w:t>disability</w:t>
      </w:r>
      <w:r>
        <w:rPr>
          <w:rFonts w:ascii="Times New Roman" w:hAnsi="Times New Roman"/>
          <w:b w:val="0"/>
          <w:i w:val="0"/>
          <w:color w:val="000000"/>
          <w:sz w:val="20"/>
        </w:rPr>
        <w:t xml:space="preserve">, </w:t>
      </w:r>
      <w:r>
        <w:rPr>
          <w:rFonts w:ascii="Times New Roman" w:hAnsi="Times New Roman"/>
          <w:b w:val="0"/>
          <w:i/>
          <w:color w:val="000000"/>
          <w:sz w:val="20"/>
        </w:rPr>
        <w:t>code_module</w:t>
      </w:r>
      <w:r>
        <w:rPr>
          <w:rFonts w:ascii="Times New Roman" w:hAnsi="Times New Roman"/>
          <w:b w:val="0"/>
          <w:i w:val="0"/>
          <w:color w:val="000000"/>
          <w:sz w:val="20"/>
        </w:rPr>
        <w:t xml:space="preserve">, dan </w:t>
      </w:r>
      <w:r>
        <w:rPr>
          <w:rFonts w:ascii="Times New Roman" w:hAnsi="Times New Roman"/>
          <w:b w:val="0"/>
          <w:i/>
          <w:color w:val="000000"/>
          <w:sz w:val="20"/>
        </w:rPr>
        <w:t>code_presentation</w:t>
      </w:r>
      <w:r>
        <w:rPr>
          <w:rFonts w:ascii="Times New Roman" w:hAnsi="Times New Roman"/>
          <w:b w:val="0"/>
          <w:i w:val="0"/>
          <w:color w:val="000000"/>
          <w:sz w:val="20"/>
        </w:rPr>
        <w:t xml:space="preserve">. Fitur numerik awal mencakup </w:t>
      </w:r>
      <w:r>
        <w:rPr>
          <w:rFonts w:ascii="Times New Roman" w:hAnsi="Times New Roman"/>
          <w:b w:val="0"/>
          <w:i/>
          <w:color w:val="000000"/>
          <w:sz w:val="20"/>
        </w:rPr>
        <w:t>num_of_prev_attempts</w:t>
      </w:r>
      <w:r>
        <w:rPr>
          <w:rFonts w:ascii="Times New Roman" w:hAnsi="Times New Roman"/>
          <w:b w:val="0"/>
          <w:i w:val="0"/>
          <w:color w:val="000000"/>
          <w:sz w:val="20"/>
        </w:rPr>
        <w:t xml:space="preserve">, </w:t>
      </w:r>
      <w:r>
        <w:rPr>
          <w:rFonts w:ascii="Times New Roman" w:hAnsi="Times New Roman"/>
          <w:b w:val="0"/>
          <w:i/>
          <w:color w:val="000000"/>
          <w:sz w:val="20"/>
        </w:rPr>
        <w:t>studied_credits</w:t>
      </w:r>
      <w:r>
        <w:rPr>
          <w:rFonts w:ascii="Times New Roman" w:hAnsi="Times New Roman"/>
          <w:b w:val="0"/>
          <w:i w:val="0"/>
          <w:color w:val="000000"/>
          <w:sz w:val="20"/>
        </w:rPr>
        <w:t xml:space="preserve">, dan </w:t>
      </w:r>
      <w:r>
        <w:rPr>
          <w:rFonts w:ascii="Times New Roman" w:hAnsi="Times New Roman"/>
          <w:b w:val="0"/>
          <w:i/>
          <w:color w:val="000000"/>
          <w:sz w:val="20"/>
        </w:rPr>
        <w:t>date_registration</w:t>
      </w:r>
      <w:r>
        <w:rPr>
          <w:rFonts w:ascii="Times New Roman" w:hAnsi="Times New Roman"/>
          <w:b w:val="0"/>
          <w:i w:val="0"/>
          <w:color w:val="000000"/>
          <w:sz w:val="20"/>
        </w:rPr>
        <w:t>.</w:t>
      </w:r>
    </w:p>
    <w:p>
      <w:pPr>
        <w:spacing w:before="0" w:after="60" w:line="240" w:lineRule="auto"/>
        <w:ind w:firstLine="259"/>
        <w:jc w:val="both"/>
      </w:pPr>
      <w:r>
        <w:rPr>
          <w:rFonts w:ascii="Times New Roman" w:hAnsi="Times New Roman"/>
          <w:b w:val="0"/>
          <w:i w:val="0"/>
          <w:color w:val="000000"/>
          <w:sz w:val="20"/>
        </w:rPr>
        <w:t xml:space="preserve">Data </w:t>
      </w:r>
      <w:r>
        <w:rPr>
          <w:rFonts w:ascii="Times New Roman" w:hAnsi="Times New Roman"/>
          <w:b w:val="0"/>
          <w:i/>
          <w:color w:val="000000"/>
          <w:sz w:val="20"/>
        </w:rPr>
        <w:t>studentAssessment</w:t>
      </w:r>
      <w:r>
        <w:rPr>
          <w:rFonts w:ascii="Times New Roman" w:hAnsi="Times New Roman"/>
          <w:b w:val="0"/>
          <w:i w:val="0"/>
          <w:color w:val="000000"/>
          <w:sz w:val="20"/>
        </w:rPr>
        <w:t xml:space="preserve"> dihubungkan dengan tabel </w:t>
      </w:r>
      <w:r>
        <w:rPr>
          <w:rFonts w:ascii="Times New Roman" w:hAnsi="Times New Roman"/>
          <w:b w:val="0"/>
          <w:i/>
          <w:color w:val="000000"/>
          <w:sz w:val="20"/>
        </w:rPr>
        <w:t>assessments</w:t>
      </w:r>
      <w:r>
        <w:rPr>
          <w:rFonts w:ascii="Times New Roman" w:hAnsi="Times New Roman"/>
          <w:b w:val="0"/>
          <w:i w:val="0"/>
          <w:color w:val="000000"/>
          <w:sz w:val="20"/>
        </w:rPr>
        <w:t xml:space="preserve"> melalui </w:t>
      </w:r>
      <w:r>
        <w:rPr>
          <w:rFonts w:ascii="Times New Roman" w:hAnsi="Times New Roman"/>
          <w:b w:val="0"/>
          <w:i/>
          <w:color w:val="000000"/>
          <w:sz w:val="20"/>
        </w:rPr>
        <w:t>id_assessment</w:t>
      </w:r>
      <w:r>
        <w:rPr>
          <w:rFonts w:ascii="Times New Roman" w:hAnsi="Times New Roman"/>
          <w:b w:val="0"/>
          <w:i w:val="0"/>
          <w:color w:val="000000"/>
          <w:sz w:val="20"/>
        </w:rPr>
        <w:t xml:space="preserve"> untuk memperoleh konteks module-presentation. Data sampai hari ke-28 diagregasi menjadi </w:t>
      </w:r>
      <w:r>
        <w:rPr>
          <w:rFonts w:ascii="Times New Roman" w:hAnsi="Times New Roman"/>
          <w:b w:val="0"/>
          <w:i/>
          <w:color w:val="000000"/>
          <w:sz w:val="20"/>
        </w:rPr>
        <w:t>assessment_count</w:t>
      </w:r>
      <w:r>
        <w:rPr>
          <w:rFonts w:ascii="Times New Roman" w:hAnsi="Times New Roman"/>
          <w:b w:val="0"/>
          <w:i w:val="0"/>
          <w:color w:val="000000"/>
          <w:sz w:val="20"/>
        </w:rPr>
        <w:t xml:space="preserve">, </w:t>
      </w:r>
      <w:r>
        <w:rPr>
          <w:rFonts w:ascii="Times New Roman" w:hAnsi="Times New Roman"/>
          <w:b w:val="0"/>
          <w:i/>
          <w:color w:val="000000"/>
          <w:sz w:val="20"/>
        </w:rPr>
        <w:t>assessment_score_mean</w:t>
      </w:r>
      <w:r>
        <w:rPr>
          <w:rFonts w:ascii="Times New Roman" w:hAnsi="Times New Roman"/>
          <w:b w:val="0"/>
          <w:i w:val="0"/>
          <w:color w:val="000000"/>
          <w:sz w:val="20"/>
        </w:rPr>
        <w:t xml:space="preserve">, </w:t>
      </w:r>
      <w:r>
        <w:rPr>
          <w:rFonts w:ascii="Times New Roman" w:hAnsi="Times New Roman"/>
          <w:b w:val="0"/>
          <w:i/>
          <w:color w:val="000000"/>
          <w:sz w:val="20"/>
        </w:rPr>
        <w:t>assessment_score_max</w:t>
      </w:r>
      <w:r>
        <w:rPr>
          <w:rFonts w:ascii="Times New Roman" w:hAnsi="Times New Roman"/>
          <w:b w:val="0"/>
          <w:i w:val="0"/>
          <w:color w:val="000000"/>
          <w:sz w:val="20"/>
        </w:rPr>
        <w:t xml:space="preserve">, dan </w:t>
      </w:r>
      <w:r>
        <w:rPr>
          <w:rFonts w:ascii="Times New Roman" w:hAnsi="Times New Roman"/>
          <w:b w:val="0"/>
          <w:i/>
          <w:color w:val="000000"/>
          <w:sz w:val="20"/>
        </w:rPr>
        <w:t>assessment_score_min</w:t>
      </w:r>
      <w:r>
        <w:rPr>
          <w:rFonts w:ascii="Times New Roman" w:hAnsi="Times New Roman"/>
          <w:b w:val="0"/>
          <w:i w:val="0"/>
          <w:color w:val="000000"/>
          <w:sz w:val="20"/>
        </w:rPr>
        <w:t xml:space="preserve">. Data </w:t>
      </w:r>
      <w:r>
        <w:rPr>
          <w:rFonts w:ascii="Times New Roman" w:hAnsi="Times New Roman"/>
          <w:b w:val="0"/>
          <w:i/>
          <w:color w:val="000000"/>
          <w:sz w:val="20"/>
        </w:rPr>
        <w:t>studentVle</w:t>
      </w:r>
      <w:r>
        <w:rPr>
          <w:rFonts w:ascii="Times New Roman" w:hAnsi="Times New Roman"/>
          <w:b w:val="0"/>
          <w:i w:val="0"/>
          <w:color w:val="000000"/>
          <w:sz w:val="20"/>
        </w:rPr>
        <w:t xml:space="preserve"> sampai hari ke-28 diagregasi menjadi </w:t>
      </w:r>
      <w:r>
        <w:rPr>
          <w:rFonts w:ascii="Times New Roman" w:hAnsi="Times New Roman"/>
          <w:b w:val="0"/>
          <w:i/>
          <w:color w:val="000000"/>
          <w:sz w:val="20"/>
        </w:rPr>
        <w:t>vle_total_clicks</w:t>
      </w:r>
      <w:r>
        <w:rPr>
          <w:rFonts w:ascii="Times New Roman" w:hAnsi="Times New Roman"/>
          <w:b w:val="0"/>
          <w:i w:val="0"/>
          <w:color w:val="000000"/>
          <w:sz w:val="20"/>
        </w:rPr>
        <w:t xml:space="preserve">, </w:t>
      </w:r>
      <w:r>
        <w:rPr>
          <w:rFonts w:ascii="Times New Roman" w:hAnsi="Times New Roman"/>
          <w:b w:val="0"/>
          <w:i/>
          <w:color w:val="000000"/>
          <w:sz w:val="20"/>
        </w:rPr>
        <w:t>vle_active_days</w:t>
      </w:r>
      <w:r>
        <w:rPr>
          <w:rFonts w:ascii="Times New Roman" w:hAnsi="Times New Roman"/>
          <w:b w:val="0"/>
          <w:i w:val="0"/>
          <w:color w:val="000000"/>
          <w:sz w:val="20"/>
        </w:rPr>
        <w:t xml:space="preserve">, </w:t>
      </w:r>
      <w:r>
        <w:rPr>
          <w:rFonts w:ascii="Times New Roman" w:hAnsi="Times New Roman"/>
          <w:b w:val="0"/>
          <w:i/>
          <w:color w:val="000000"/>
          <w:sz w:val="20"/>
        </w:rPr>
        <w:t>vle_site_count</w:t>
      </w:r>
      <w:r>
        <w:rPr>
          <w:rFonts w:ascii="Times New Roman" w:hAnsi="Times New Roman"/>
          <w:b w:val="0"/>
          <w:i w:val="0"/>
          <w:color w:val="000000"/>
          <w:sz w:val="20"/>
        </w:rPr>
        <w:t xml:space="preserve">, dan </w:t>
      </w:r>
      <w:r>
        <w:rPr>
          <w:rFonts w:ascii="Times New Roman" w:hAnsi="Times New Roman"/>
          <w:b w:val="0"/>
          <w:i/>
          <w:color w:val="000000"/>
          <w:sz w:val="20"/>
        </w:rPr>
        <w:t>vle_last_activity_day</w:t>
      </w:r>
      <w:r>
        <w:rPr>
          <w:rFonts w:ascii="Times New Roman" w:hAnsi="Times New Roman"/>
          <w:b w:val="0"/>
          <w:i w:val="0"/>
          <w:color w:val="000000"/>
          <w:sz w:val="20"/>
        </w:rPr>
        <w:t>.</w:t>
      </w:r>
    </w:p>
    <w:p>
      <w:pPr>
        <w:spacing w:before="0" w:after="60" w:line="240" w:lineRule="auto"/>
        <w:ind w:firstLine="259"/>
        <w:jc w:val="both"/>
      </w:pPr>
      <w:r>
        <w:rPr>
          <w:rFonts w:ascii="Times New Roman" w:hAnsi="Times New Roman"/>
          <w:b w:val="0"/>
          <w:i w:val="0"/>
          <w:color w:val="000000"/>
          <w:sz w:val="20"/>
        </w:rPr>
        <w:t xml:space="preserve">Nilai numerik dikonversi menggunakan </w:t>
      </w:r>
      <w:r>
        <w:rPr>
          <w:rFonts w:ascii="Times New Roman" w:hAnsi="Times New Roman"/>
          <w:b w:val="0"/>
          <w:i/>
          <w:color w:val="000000"/>
          <w:sz w:val="20"/>
        </w:rPr>
        <w:t>pd.to_numeric</w:t>
      </w:r>
      <w:r>
        <w:rPr>
          <w:rFonts w:ascii="Times New Roman" w:hAnsi="Times New Roman"/>
          <w:b w:val="0"/>
          <w:i w:val="0"/>
          <w:color w:val="000000"/>
          <w:sz w:val="20"/>
        </w:rPr>
        <w:t xml:space="preserve"> dengan nilai yang tidak dapat dikonversi diperlakukan sebagai missing value. Agregat perilaku yang belum memiliki aktivitas diisi dengan nol. Pada pipeline model, missing value numerik diimputasi menggunakan median dan kemudian distandardisasi. Missing value kategorikal diimputasi menggunakan modus dan ditransformasikan dengan one-hot encoding. Seluruh transformasi dipelajari di dalam pipeline pada data pelatihan.</w:t>
      </w:r>
    </w:p>
    <w:p>
      <w:pPr>
        <w:pStyle w:val="Heading2"/>
        <w:keepNext/>
        <w:spacing w:before="100" w:after="40"/>
        <w:jc w:val="left"/>
      </w:pPr>
      <w:r>
        <w:rPr>
          <w:rFonts w:ascii="Times New Roman" w:hAnsi="Times New Roman"/>
          <w:i/>
          <w:color w:val="000000"/>
          <w:sz w:val="20"/>
        </w:rPr>
        <w:t>E. Data Splitting and Validation</w:t>
      </w:r>
    </w:p>
    <w:p>
      <w:pPr>
        <w:spacing w:before="0" w:after="60" w:line="240" w:lineRule="auto"/>
        <w:ind w:firstLine="259"/>
        <w:jc w:val="both"/>
      </w:pPr>
      <w:r>
        <w:rPr>
          <w:rFonts w:ascii="Times New Roman" w:hAnsi="Times New Roman"/>
          <w:b w:val="0"/>
          <w:i w:val="0"/>
          <w:color w:val="000000"/>
          <w:sz w:val="20"/>
        </w:rPr>
        <w:t xml:space="preserve">Data dibagi menjadi 80% train-validation dan 20% hold-out test menggunakan </w:t>
      </w:r>
      <w:r>
        <w:rPr>
          <w:rFonts w:ascii="Times New Roman" w:hAnsi="Times New Roman"/>
          <w:b w:val="0"/>
          <w:i/>
          <w:color w:val="000000"/>
          <w:sz w:val="20"/>
        </w:rPr>
        <w:t>GroupShuffleSplit</w:t>
      </w:r>
      <w:r>
        <w:rPr>
          <w:rFonts w:ascii="Times New Roman" w:hAnsi="Times New Roman"/>
          <w:b w:val="0"/>
          <w:i w:val="0"/>
          <w:color w:val="000000"/>
          <w:sz w:val="20"/>
        </w:rPr>
        <w:t xml:space="preserve">. Variabel </w:t>
      </w:r>
      <w:r>
        <w:rPr>
          <w:rFonts w:ascii="Times New Roman" w:hAnsi="Times New Roman"/>
          <w:b w:val="0"/>
          <w:i/>
          <w:color w:val="000000"/>
          <w:sz w:val="20"/>
        </w:rPr>
        <w:t>id_student</w:t>
      </w:r>
      <w:r>
        <w:rPr>
          <w:rFonts w:ascii="Times New Roman" w:hAnsi="Times New Roman"/>
          <w:b w:val="0"/>
          <w:i w:val="0"/>
          <w:color w:val="000000"/>
          <w:sz w:val="20"/>
        </w:rPr>
        <w:t xml:space="preserve"> digunakan sebagai grup sehingga setiap mahasiswa ditempatkan secara eksklusif pada salah satu bagian. Train-validation terdiri atas 26.122 baris dan test terdiri atas 6.471 baris. Pemeriksaan menunjukkan overlap mahasiswa sebesar nol.</w:t>
      </w:r>
    </w:p>
    <w:p>
      <w:pPr>
        <w:spacing w:before="0" w:after="60" w:line="240" w:lineRule="auto"/>
        <w:ind w:firstLine="259"/>
        <w:jc w:val="both"/>
      </w:pPr>
      <w:r>
        <w:rPr>
          <w:rFonts w:ascii="Times New Roman" w:hAnsi="Times New Roman"/>
          <w:b w:val="0"/>
          <w:i w:val="0"/>
          <w:color w:val="000000"/>
          <w:sz w:val="20"/>
        </w:rPr>
        <w:t xml:space="preserve">Evaluasi cross-validation menggunakan 5-fold </w:t>
      </w:r>
      <w:r>
        <w:rPr>
          <w:rFonts w:ascii="Times New Roman" w:hAnsi="Times New Roman"/>
          <w:b w:val="0"/>
          <w:i/>
          <w:color w:val="000000"/>
          <w:sz w:val="20"/>
        </w:rPr>
        <w:t>GroupKFold</w:t>
      </w:r>
      <w:r>
        <w:rPr>
          <w:rFonts w:ascii="Times New Roman" w:hAnsi="Times New Roman"/>
          <w:b w:val="0"/>
          <w:i w:val="0"/>
          <w:color w:val="000000"/>
          <w:sz w:val="20"/>
        </w:rPr>
        <w:t xml:space="preserve"> pada train-validation. Pemilihan model didasarkan pada rata-rata recall kelas </w:t>
      </w:r>
      <w:r>
        <w:rPr>
          <w:rFonts w:ascii="Times New Roman" w:hAnsi="Times New Roman"/>
          <w:b w:val="0"/>
          <w:i/>
          <w:color w:val="000000"/>
          <w:sz w:val="20"/>
        </w:rPr>
        <w:t>AtRisk</w:t>
      </w:r>
      <w:r>
        <w:rPr>
          <w:rFonts w:ascii="Times New Roman" w:hAnsi="Times New Roman"/>
          <w:b w:val="0"/>
          <w:i w:val="0"/>
          <w:color w:val="000000"/>
          <w:sz w:val="20"/>
        </w:rPr>
        <w:t xml:space="preserve">, kemudian F1-score </w:t>
      </w:r>
      <w:r>
        <w:rPr>
          <w:rFonts w:ascii="Times New Roman" w:hAnsi="Times New Roman"/>
          <w:b w:val="0"/>
          <w:i/>
          <w:color w:val="000000"/>
          <w:sz w:val="20"/>
        </w:rPr>
        <w:t>AtRisk</w:t>
      </w:r>
      <w:r>
        <w:rPr>
          <w:rFonts w:ascii="Times New Roman" w:hAnsi="Times New Roman"/>
          <w:b w:val="0"/>
          <w:i w:val="0"/>
          <w:color w:val="000000"/>
          <w:sz w:val="20"/>
        </w:rPr>
        <w:t xml:space="preserve"> digunakan sebagai tie-breaker. Setelah model terpilih, performa akhir dilaporkan pada hold-out test.</w:t>
      </w:r>
    </w:p>
    <w:p>
      <w:pPr>
        <w:pStyle w:val="Heading2"/>
        <w:keepNext/>
        <w:spacing w:before="100" w:after="40"/>
        <w:jc w:val="left"/>
      </w:pPr>
      <w:r>
        <w:rPr>
          <w:rFonts w:ascii="Times New Roman" w:hAnsi="Times New Roman"/>
          <w:i/>
          <w:color w:val="000000"/>
          <w:sz w:val="20"/>
        </w:rPr>
        <w:t>F. Supervised Learning Models</w:t>
      </w:r>
    </w:p>
    <w:p>
      <w:pPr>
        <w:spacing w:before="0" w:after="60" w:line="240" w:lineRule="auto"/>
        <w:ind w:firstLine="259"/>
        <w:jc w:val="both"/>
      </w:pPr>
      <w:r>
        <w:rPr>
          <w:rFonts w:ascii="Times New Roman" w:hAnsi="Times New Roman"/>
          <w:b w:val="0"/>
          <w:i w:val="0"/>
          <w:color w:val="000000"/>
          <w:sz w:val="20"/>
        </w:rPr>
        <w:t xml:space="preserve">Tiga algoritma dibandingkan. Logistic Regression digunakan sebagai baseline linear dengan </w:t>
      </w:r>
      <w:r>
        <w:rPr>
          <w:rFonts w:ascii="Times New Roman" w:hAnsi="Times New Roman"/>
          <w:b w:val="0"/>
          <w:i/>
          <w:color w:val="000000"/>
          <w:sz w:val="20"/>
        </w:rPr>
        <w:t>class_weight='balanced'</w:t>
      </w:r>
      <w:r>
        <w:rPr>
          <w:rFonts w:ascii="Times New Roman" w:hAnsi="Times New Roman"/>
          <w:b w:val="0"/>
          <w:i w:val="0"/>
          <w:color w:val="000000"/>
          <w:sz w:val="20"/>
        </w:rPr>
        <w:t xml:space="preserve">. Random Forest menggunakan 250 pohon dan </w:t>
      </w:r>
      <w:r>
        <w:rPr>
          <w:rFonts w:ascii="Times New Roman" w:hAnsi="Times New Roman"/>
          <w:b w:val="0"/>
          <w:i/>
          <w:color w:val="000000"/>
          <w:sz w:val="20"/>
        </w:rPr>
        <w:t>class_weight='balanced'</w:t>
      </w:r>
      <w:r>
        <w:rPr>
          <w:rFonts w:ascii="Times New Roman" w:hAnsi="Times New Roman"/>
          <w:b w:val="0"/>
          <w:i w:val="0"/>
          <w:color w:val="000000"/>
          <w:sz w:val="20"/>
        </w:rPr>
        <w:t xml:space="preserve">. XGBoost menggunakan 200 estimator, kedalaman maksimum 4, learning rate 0,08, subsample 0,9, dan colsample 0,9. Nilai </w:t>
      </w:r>
      <w:r>
        <w:rPr>
          <w:rFonts w:ascii="Times New Roman" w:hAnsi="Times New Roman"/>
          <w:b w:val="0"/>
          <w:i/>
          <w:color w:val="000000"/>
          <w:sz w:val="20"/>
        </w:rPr>
        <w:t>scale_pos_weight</w:t>
      </w:r>
      <w:r>
        <w:rPr>
          <w:rFonts w:ascii="Times New Roman" w:hAnsi="Times New Roman"/>
          <w:b w:val="0"/>
          <w:i w:val="0"/>
          <w:color w:val="000000"/>
          <w:sz w:val="20"/>
        </w:rPr>
        <w:t xml:space="preserve"> dihitung dari distribusi kelas train-validation.</w:t>
      </w:r>
    </w:p>
    <w:p>
      <w:pPr>
        <w:spacing w:before="0" w:after="60" w:line="240" w:lineRule="auto"/>
        <w:ind w:firstLine="259"/>
        <w:jc w:val="both"/>
      </w:pPr>
      <w:r>
        <w:rPr>
          <w:rFonts w:ascii="Times New Roman" w:hAnsi="Times New Roman"/>
          <w:b w:val="0"/>
          <w:i w:val="0"/>
          <w:color w:val="000000"/>
          <w:sz w:val="20"/>
        </w:rPr>
        <w:t xml:space="preserve">Metrik evaluasi mencakup accuracy, precision, recall, dan F1-score untuk kelas </w:t>
      </w:r>
      <w:r>
        <w:rPr>
          <w:rFonts w:ascii="Times New Roman" w:hAnsi="Times New Roman"/>
          <w:b w:val="0"/>
          <w:i/>
          <w:color w:val="000000"/>
          <w:sz w:val="20"/>
        </w:rPr>
        <w:t>AtRisk</w:t>
      </w:r>
      <w:r>
        <w:rPr>
          <w:rFonts w:ascii="Times New Roman" w:hAnsi="Times New Roman"/>
          <w:b w:val="0"/>
          <w:i w:val="0"/>
          <w:color w:val="000000"/>
          <w:sz w:val="20"/>
        </w:rPr>
        <w:t xml:space="preserve">, ROC-AUC, confusion matrix, serta classification report. Recall </w:t>
      </w:r>
      <w:r>
        <w:rPr>
          <w:rFonts w:ascii="Times New Roman" w:hAnsi="Times New Roman"/>
          <w:b w:val="0"/>
          <w:i/>
          <w:color w:val="000000"/>
          <w:sz w:val="20"/>
        </w:rPr>
        <w:t>AtRisk</w:t>
      </w:r>
      <w:r>
        <w:rPr>
          <w:rFonts w:ascii="Times New Roman" w:hAnsi="Times New Roman"/>
          <w:b w:val="0"/>
          <w:i w:val="0"/>
          <w:color w:val="000000"/>
          <w:sz w:val="20"/>
        </w:rPr>
        <w:t xml:space="preserve"> menjadi kriteria utama karena early warning memprioritaskan cakupan mahasiswa berisiko yang dapat diarahkan pada proses verifikasi dan intervensi.</w:t>
      </w:r>
    </w:p>
    <w:p>
      <w:pPr>
        <w:pStyle w:val="Heading2"/>
        <w:keepNext/>
        <w:spacing w:before="100" w:after="40"/>
        <w:jc w:val="left"/>
      </w:pPr>
      <w:r>
        <w:rPr>
          <w:rFonts w:ascii="Times New Roman" w:hAnsi="Times New Roman"/>
          <w:i/>
          <w:color w:val="000000"/>
          <w:sz w:val="20"/>
        </w:rPr>
        <w:t>G. Knowledge-Based Risk Layer</w:t>
      </w:r>
    </w:p>
    <w:p>
      <w:pPr>
        <w:spacing w:before="0" w:after="60" w:line="240" w:lineRule="auto"/>
        <w:ind w:firstLine="259"/>
        <w:jc w:val="both"/>
      </w:pPr>
      <w:r>
        <w:rPr>
          <w:rFonts w:ascii="Times New Roman" w:hAnsi="Times New Roman"/>
          <w:b w:val="0"/>
          <w:i w:val="0"/>
          <w:color w:val="000000"/>
          <w:sz w:val="20"/>
        </w:rPr>
        <w:t xml:space="preserve">Knowledge-based risk layer menggunakan empat indikator: </w:t>
      </w:r>
      <w:r>
        <w:rPr>
          <w:rFonts w:ascii="Times New Roman" w:hAnsi="Times New Roman"/>
          <w:b w:val="0"/>
          <w:i/>
          <w:color w:val="000000"/>
          <w:sz w:val="20"/>
        </w:rPr>
        <w:t>assessment_score_mean</w:t>
      </w:r>
      <w:r>
        <w:rPr>
          <w:rFonts w:ascii="Times New Roman" w:hAnsi="Times New Roman"/>
          <w:b w:val="0"/>
          <w:i w:val="0"/>
          <w:color w:val="000000"/>
          <w:sz w:val="20"/>
        </w:rPr>
        <w:t xml:space="preserve">, </w:t>
      </w:r>
      <w:r>
        <w:rPr>
          <w:rFonts w:ascii="Times New Roman" w:hAnsi="Times New Roman"/>
          <w:b w:val="0"/>
          <w:i/>
          <w:color w:val="000000"/>
          <w:sz w:val="20"/>
        </w:rPr>
        <w:t>assessment_count</w:t>
      </w:r>
      <w:r>
        <w:rPr>
          <w:rFonts w:ascii="Times New Roman" w:hAnsi="Times New Roman"/>
          <w:b w:val="0"/>
          <w:i w:val="0"/>
          <w:color w:val="000000"/>
          <w:sz w:val="20"/>
        </w:rPr>
        <w:t xml:space="preserve">, </w:t>
      </w:r>
      <w:r>
        <w:rPr>
          <w:rFonts w:ascii="Times New Roman" w:hAnsi="Times New Roman"/>
          <w:b w:val="0"/>
          <w:i/>
          <w:color w:val="000000"/>
          <w:sz w:val="20"/>
        </w:rPr>
        <w:t>vle_total_clicks</w:t>
      </w:r>
      <w:r>
        <w:rPr>
          <w:rFonts w:ascii="Times New Roman" w:hAnsi="Times New Roman"/>
          <w:b w:val="0"/>
          <w:i w:val="0"/>
          <w:color w:val="000000"/>
          <w:sz w:val="20"/>
        </w:rPr>
        <w:t xml:space="preserve">, dan </w:t>
      </w:r>
      <w:r>
        <w:rPr>
          <w:rFonts w:ascii="Times New Roman" w:hAnsi="Times New Roman"/>
          <w:b w:val="0"/>
          <w:i/>
          <w:color w:val="000000"/>
          <w:sz w:val="20"/>
        </w:rPr>
        <w:t>vle_active_days</w:t>
      </w:r>
      <w:r>
        <w:rPr>
          <w:rFonts w:ascii="Times New Roman" w:hAnsi="Times New Roman"/>
          <w:b w:val="0"/>
          <w:i w:val="0"/>
          <w:color w:val="000000"/>
          <w:sz w:val="20"/>
        </w:rPr>
        <w:t>. Threshold dihitung dari kuartil bawah data train-validation. Prosedur ini menjaga threshold tetap independen dari hold-out test. Hasil perhitungan menghasilkan threshold skor assessment 0, jumlah assessment 0, total klik VLE 47, dan hari aktif VLE 4.</w:t>
      </w:r>
    </w:p>
    <w:p>
      <w:pPr>
        <w:spacing w:before="0" w:after="60" w:line="240" w:lineRule="auto"/>
        <w:ind w:firstLine="259"/>
        <w:jc w:val="both"/>
      </w:pPr>
      <w:r>
        <w:rPr>
          <w:rFonts w:ascii="Times New Roman" w:hAnsi="Times New Roman"/>
          <w:b w:val="0"/>
          <w:i w:val="0"/>
          <w:color w:val="000000"/>
          <w:sz w:val="20"/>
        </w:rPr>
        <w:t xml:space="preserve">Sinyal risiko diberikan ketika nilai indikator berada pada atau di bawah threshold. Status </w:t>
      </w:r>
      <w:r>
        <w:rPr>
          <w:rFonts w:ascii="Times New Roman" w:hAnsi="Times New Roman"/>
          <w:b w:val="0"/>
          <w:i/>
          <w:color w:val="000000"/>
          <w:sz w:val="20"/>
        </w:rPr>
        <w:t>High Risk</w:t>
      </w:r>
      <w:r>
        <w:rPr>
          <w:rFonts w:ascii="Times New Roman" w:hAnsi="Times New Roman"/>
          <w:b w:val="0"/>
          <w:i w:val="0"/>
          <w:color w:val="000000"/>
          <w:sz w:val="20"/>
        </w:rPr>
        <w:t xml:space="preserve"> diberikan ketika model memprediksi </w:t>
      </w:r>
      <w:r>
        <w:rPr>
          <w:rFonts w:ascii="Times New Roman" w:hAnsi="Times New Roman"/>
          <w:b w:val="0"/>
          <w:i/>
          <w:color w:val="000000"/>
          <w:sz w:val="20"/>
        </w:rPr>
        <w:t>AtRisk</w:t>
      </w:r>
      <w:r>
        <w:rPr>
          <w:rFonts w:ascii="Times New Roman" w:hAnsi="Times New Roman"/>
          <w:b w:val="0"/>
          <w:i w:val="0"/>
          <w:color w:val="000000"/>
          <w:sz w:val="20"/>
        </w:rPr>
        <w:t xml:space="preserve"> dan mahasiswa memiliki minimal dua sinyal aturan. Status </w:t>
      </w:r>
      <w:r>
        <w:rPr>
          <w:rFonts w:ascii="Times New Roman" w:hAnsi="Times New Roman"/>
          <w:b w:val="0"/>
          <w:i/>
          <w:color w:val="000000"/>
          <w:sz w:val="20"/>
        </w:rPr>
        <w:t>Medium Risk</w:t>
      </w:r>
      <w:r>
        <w:rPr>
          <w:rFonts w:ascii="Times New Roman" w:hAnsi="Times New Roman"/>
          <w:b w:val="0"/>
          <w:i w:val="0"/>
          <w:color w:val="000000"/>
          <w:sz w:val="20"/>
        </w:rPr>
        <w:t xml:space="preserve"> diberikan ketika model memprediksi </w:t>
      </w:r>
      <w:r>
        <w:rPr>
          <w:rFonts w:ascii="Times New Roman" w:hAnsi="Times New Roman"/>
          <w:b w:val="0"/>
          <w:i/>
          <w:color w:val="000000"/>
          <w:sz w:val="20"/>
        </w:rPr>
        <w:t>AtRisk</w:t>
      </w:r>
      <w:r>
        <w:rPr>
          <w:rFonts w:ascii="Times New Roman" w:hAnsi="Times New Roman"/>
          <w:b w:val="0"/>
          <w:i w:val="0"/>
          <w:color w:val="000000"/>
          <w:sz w:val="20"/>
        </w:rPr>
        <w:t xml:space="preserve"> atau mahasiswa memiliki minimal dua sinyal aturan. Status </w:t>
      </w:r>
      <w:r>
        <w:rPr>
          <w:rFonts w:ascii="Times New Roman" w:hAnsi="Times New Roman"/>
          <w:b w:val="0"/>
          <w:i/>
          <w:color w:val="000000"/>
          <w:sz w:val="20"/>
        </w:rPr>
        <w:t>Low Risk</w:t>
      </w:r>
      <w:r>
        <w:rPr>
          <w:rFonts w:ascii="Times New Roman" w:hAnsi="Times New Roman"/>
          <w:b w:val="0"/>
          <w:i w:val="0"/>
          <w:color w:val="000000"/>
          <w:sz w:val="20"/>
        </w:rPr>
        <w:t xml:space="preserve"> diberikan pada kondisi lainnya.</w:t>
      </w:r>
    </w:p>
    <w:p>
      <w:pPr>
        <w:spacing w:before="0" w:after="60" w:line="240" w:lineRule="auto"/>
        <w:ind w:firstLine="259"/>
        <w:jc w:val="both"/>
      </w:pPr>
      <w:r>
        <w:rPr>
          <w:rFonts w:ascii="Times New Roman" w:hAnsi="Times New Roman"/>
          <w:b w:val="0"/>
          <w:i w:val="0"/>
          <w:color w:val="000000"/>
          <w:sz w:val="20"/>
        </w:rPr>
        <w:t xml:space="preserve">Setiap baris menghasilkan probabilitas </w:t>
      </w:r>
      <w:r>
        <w:rPr>
          <w:rFonts w:ascii="Times New Roman" w:hAnsi="Times New Roman"/>
          <w:b w:val="0"/>
          <w:i/>
          <w:color w:val="000000"/>
          <w:sz w:val="20"/>
        </w:rPr>
        <w:t>AtRisk</w:t>
      </w:r>
      <w:r>
        <w:rPr>
          <w:rFonts w:ascii="Times New Roman" w:hAnsi="Times New Roman"/>
          <w:b w:val="0"/>
          <w:i w:val="0"/>
          <w:color w:val="000000"/>
          <w:sz w:val="20"/>
        </w:rPr>
        <w:t>, jumlah sinyal, alasan risiko, dan rekomendasi intervensi. Aktivitas VLE rendah diarahkan pada pengingat dan monitoring akses. Assessment rendah atau belum dikerjakan diarahkan pada pendampingan akademik. Kombinasi minimal tiga sinyal diarahkan pada konseling atau tindak lanjut dosen wali.</w:t>
      </w:r>
    </w:p>
    <w:p>
      <w:pPr>
        <w:spacing w:before="0" w:after="60" w:line="240" w:lineRule="auto"/>
        <w:ind w:firstLine="259"/>
        <w:jc w:val="both"/>
      </w:pPr>
      <w:r>
        <w:rPr>
          <w:rFonts w:ascii="Times New Roman" w:hAnsi="Times New Roman"/>
          <w:b w:val="0"/>
          <w:i w:val="0"/>
          <w:color w:val="000000"/>
          <w:sz w:val="20"/>
        </w:rPr>
        <w:t xml:space="preserve">Evaluasi sistem gabungan memetakan </w:t>
      </w:r>
      <w:r>
        <w:rPr>
          <w:rFonts w:ascii="Times New Roman" w:hAnsi="Times New Roman"/>
          <w:b w:val="0"/>
          <w:i/>
          <w:color w:val="000000"/>
          <w:sz w:val="20"/>
        </w:rPr>
        <w:t>High Risk</w:t>
      </w:r>
      <w:r>
        <w:rPr>
          <w:rFonts w:ascii="Times New Roman" w:hAnsi="Times New Roman"/>
          <w:b w:val="0"/>
          <w:i w:val="0"/>
          <w:color w:val="000000"/>
          <w:sz w:val="20"/>
        </w:rPr>
        <w:t xml:space="preserve"> dan </w:t>
      </w:r>
      <w:r>
        <w:rPr>
          <w:rFonts w:ascii="Times New Roman" w:hAnsi="Times New Roman"/>
          <w:b w:val="0"/>
          <w:i/>
          <w:color w:val="000000"/>
          <w:sz w:val="20"/>
        </w:rPr>
        <w:t>Medium Risk</w:t>
      </w:r>
      <w:r>
        <w:rPr>
          <w:rFonts w:ascii="Times New Roman" w:hAnsi="Times New Roman"/>
          <w:b w:val="0"/>
          <w:i w:val="0"/>
          <w:color w:val="000000"/>
          <w:sz w:val="20"/>
        </w:rPr>
        <w:t xml:space="preserve"> sebagai </w:t>
      </w:r>
      <w:r>
        <w:rPr>
          <w:rFonts w:ascii="Times New Roman" w:hAnsi="Times New Roman"/>
          <w:b w:val="0"/>
          <w:i/>
          <w:color w:val="000000"/>
          <w:sz w:val="20"/>
        </w:rPr>
        <w:t>AtRisk</w:t>
      </w:r>
      <w:r>
        <w:rPr>
          <w:rFonts w:ascii="Times New Roman" w:hAnsi="Times New Roman"/>
          <w:b w:val="0"/>
          <w:i w:val="0"/>
          <w:color w:val="000000"/>
          <w:sz w:val="20"/>
        </w:rPr>
        <w:t>. Perbandingan dengan model terpilih digunakan untuk mengukur perubahan cakupan deteksi, precision, dan beban verifikasi.</w:t>
      </w:r>
    </w:p>
    <w:p>
      <w:pPr>
        <w:pStyle w:val="Heading2"/>
        <w:keepNext/>
        <w:spacing w:before="100" w:after="40"/>
        <w:jc w:val="left"/>
      </w:pPr>
      <w:r>
        <w:rPr>
          <w:rFonts w:ascii="Times New Roman" w:hAnsi="Times New Roman"/>
          <w:i/>
          <w:color w:val="000000"/>
          <w:sz w:val="20"/>
        </w:rPr>
        <w:t>H. Visual Analytics and Business Intelligence</w:t>
      </w:r>
    </w:p>
    <w:p>
      <w:pPr>
        <w:spacing w:before="0" w:after="60" w:line="240" w:lineRule="auto"/>
        <w:ind w:firstLine="259"/>
        <w:jc w:val="both"/>
      </w:pPr>
      <w:r>
        <w:rPr>
          <w:rFonts w:ascii="Times New Roman" w:hAnsi="Times New Roman"/>
          <w:b w:val="0"/>
          <w:i w:val="0"/>
          <w:color w:val="000000"/>
          <w:sz w:val="20"/>
        </w:rPr>
        <w:t>Dashboard statis dibangun menggunakan Matplotlib dan Seaborn. Dashboard memuat KPI mahasiswa unik, jumlah dan persentase prioritas intervensi, distribusi level risiko, risiko per module-presentation, distribusi probabilitas, sinyal dominan, median aktivitas VLE dan assessment, confusion matrix, serta perbandingan model dengan knowledge layer.</w:t>
      </w:r>
    </w:p>
    <w:p>
      <w:pPr>
        <w:spacing w:before="0" w:after="60" w:line="240" w:lineRule="auto"/>
        <w:ind w:firstLine="259"/>
        <w:jc w:val="both"/>
      </w:pPr>
      <w:r>
        <w:rPr>
          <w:rFonts w:ascii="Times New Roman" w:hAnsi="Times New Roman"/>
          <w:b w:val="0"/>
          <w:i w:val="0"/>
          <w:color w:val="000000"/>
          <w:sz w:val="20"/>
        </w:rPr>
        <w:t xml:space="preserve">Daftar prioritas diurutkan berdasarkan level risiko, probabilitas </w:t>
      </w:r>
      <w:r>
        <w:rPr>
          <w:rFonts w:ascii="Times New Roman" w:hAnsi="Times New Roman"/>
          <w:b w:val="0"/>
          <w:i/>
          <w:color w:val="000000"/>
          <w:sz w:val="20"/>
        </w:rPr>
        <w:t>AtRisk</w:t>
      </w:r>
      <w:r>
        <w:rPr>
          <w:rFonts w:ascii="Times New Roman" w:hAnsi="Times New Roman"/>
          <w:b w:val="0"/>
          <w:i w:val="0"/>
          <w:color w:val="000000"/>
          <w:sz w:val="20"/>
        </w:rPr>
        <w:t>, dan jumlah sinyal. Keluaran tersebut mendukung beberapa tingkat keputusan. Pimpinan akademik memperoleh gambaran skala risiko, program studi melihat konsentrasi risiko antar module-presentation, dan tutor atau dosen wali memperoleh alasan serta rekomendasi pada tingkat mahasiswa. Sistem diposisikan sebagai decision support yang membantu stakeholder menetapkan tindak lanjut berdasarkan bukti analitik dan pertimbangan akademik.</w:t>
      </w:r>
    </w:p>
    <w:p>
      <w:pPr>
        <w:pStyle w:val="Heading1"/>
        <w:keepNext/>
        <w:spacing w:before="160" w:after="80"/>
        <w:jc w:val="center"/>
      </w:pPr>
      <w:r>
        <w:rPr>
          <w:rFonts w:ascii="Times New Roman" w:hAnsi="Times New Roman"/>
          <w:b w:val="0"/>
          <w:color w:val="000000"/>
          <w:sz w:val="20"/>
        </w:rPr>
        <w:t>IV. RESULTS</w:t>
      </w:r>
    </w:p>
    <w:p>
      <w:pPr>
        <w:pStyle w:val="Heading2"/>
        <w:keepNext/>
        <w:spacing w:before="100" w:after="40"/>
        <w:jc w:val="left"/>
      </w:pPr>
      <w:r>
        <w:rPr>
          <w:rFonts w:ascii="Times New Roman" w:hAnsi="Times New Roman"/>
          <w:i/>
          <w:color w:val="000000"/>
          <w:sz w:val="20"/>
        </w:rPr>
        <w:t>A. Dataset and Validation Results</w:t>
      </w:r>
    </w:p>
    <w:p>
      <w:pPr>
        <w:spacing w:before="0" w:after="60" w:line="240" w:lineRule="auto"/>
        <w:ind w:firstLine="259"/>
        <w:jc w:val="both"/>
      </w:pPr>
      <w:r>
        <w:rPr>
          <w:rFonts w:ascii="Times New Roman" w:hAnsi="Times New Roman"/>
          <w:b w:val="0"/>
          <w:i w:val="0"/>
          <w:color w:val="000000"/>
          <w:sz w:val="20"/>
        </w:rPr>
        <w:t xml:space="preserve">Dataset hasil preprocessing memuat 32.593 student-module-presentation dari 28.785 mahasiswa unik. Kelas </w:t>
      </w:r>
      <w:r>
        <w:rPr>
          <w:rFonts w:ascii="Times New Roman" w:hAnsi="Times New Roman"/>
          <w:b w:val="0"/>
          <w:i/>
          <w:color w:val="000000"/>
          <w:sz w:val="20"/>
        </w:rPr>
        <w:t>AtRisk</w:t>
      </w:r>
      <w:r>
        <w:rPr>
          <w:rFonts w:ascii="Times New Roman" w:hAnsi="Times New Roman"/>
          <w:b w:val="0"/>
          <w:i w:val="0"/>
          <w:color w:val="000000"/>
          <w:sz w:val="20"/>
        </w:rPr>
        <w:t xml:space="preserve"> berjumlah 17.208 baris dan kelas </w:t>
      </w:r>
      <w:r>
        <w:rPr>
          <w:rFonts w:ascii="Times New Roman" w:hAnsi="Times New Roman"/>
          <w:b w:val="0"/>
          <w:i/>
          <w:color w:val="000000"/>
          <w:sz w:val="20"/>
        </w:rPr>
        <w:t>Successful</w:t>
      </w:r>
      <w:r>
        <w:rPr>
          <w:rFonts w:ascii="Times New Roman" w:hAnsi="Times New Roman"/>
          <w:b w:val="0"/>
          <w:i w:val="0"/>
          <w:color w:val="000000"/>
          <w:sz w:val="20"/>
        </w:rPr>
        <w:t xml:space="preserve"> berjumlah 15.385 baris. Train-validation memuat 26.122 baris, sedangkan hold-out test memuat 6.471 baris dengan 3.398 kasus </w:t>
      </w:r>
      <w:r>
        <w:rPr>
          <w:rFonts w:ascii="Times New Roman" w:hAnsi="Times New Roman"/>
          <w:b w:val="0"/>
          <w:i/>
          <w:color w:val="000000"/>
          <w:sz w:val="20"/>
        </w:rPr>
        <w:t>AtRisk</w:t>
      </w:r>
      <w:r>
        <w:rPr>
          <w:rFonts w:ascii="Times New Roman" w:hAnsi="Times New Roman"/>
          <w:b w:val="0"/>
          <w:i w:val="0"/>
          <w:color w:val="000000"/>
          <w:sz w:val="20"/>
        </w:rPr>
        <w:t xml:space="preserve"> dan 3.073 kasus </w:t>
      </w:r>
      <w:r>
        <w:rPr>
          <w:rFonts w:ascii="Times New Roman" w:hAnsi="Times New Roman"/>
          <w:b w:val="0"/>
          <w:i/>
          <w:color w:val="000000"/>
          <w:sz w:val="20"/>
        </w:rPr>
        <w:t>Successful</w:t>
      </w:r>
      <w:r>
        <w:rPr>
          <w:rFonts w:ascii="Times New Roman" w:hAnsi="Times New Roman"/>
          <w:b w:val="0"/>
          <w:i w:val="0"/>
          <w:color w:val="000000"/>
          <w:sz w:val="20"/>
        </w:rPr>
        <w:t xml:space="preserve">. Pemisahan berbasis </w:t>
      </w:r>
      <w:r>
        <w:rPr>
          <w:rFonts w:ascii="Times New Roman" w:hAnsi="Times New Roman"/>
          <w:b w:val="0"/>
          <w:i/>
          <w:color w:val="000000"/>
          <w:sz w:val="20"/>
        </w:rPr>
        <w:t>id_student</w:t>
      </w:r>
      <w:r>
        <w:rPr>
          <w:rFonts w:ascii="Times New Roman" w:hAnsi="Times New Roman"/>
          <w:b w:val="0"/>
          <w:i w:val="0"/>
          <w:color w:val="000000"/>
          <w:sz w:val="20"/>
        </w:rPr>
        <w:t xml:space="preserve"> menghasilkan overlap mahasiswa sebesar nol.</w:t>
      </w:r>
    </w:p>
    <w:p>
      <w:pPr>
        <w:spacing w:before="0" w:after="60" w:line="240" w:lineRule="auto"/>
        <w:ind w:firstLine="259"/>
        <w:jc w:val="both"/>
      </w:pPr>
      <w:r>
        <w:rPr>
          <w:rFonts w:ascii="Times New Roman" w:hAnsi="Times New Roman"/>
          <w:b w:val="0"/>
          <w:i w:val="0"/>
          <w:color w:val="000000"/>
          <w:sz w:val="20"/>
        </w:rPr>
        <w:t xml:space="preserve">Fig. 1 memperlihatkan bahwa distribusi target relatif berimbang. Missing value terkonsentrasi pada </w:t>
      </w:r>
      <w:r>
        <w:rPr>
          <w:rFonts w:ascii="Times New Roman" w:hAnsi="Times New Roman"/>
          <w:b w:val="0"/>
          <w:i/>
          <w:color w:val="000000"/>
          <w:sz w:val="20"/>
        </w:rPr>
        <w:t>imd_band</w:t>
      </w:r>
      <w:r>
        <w:rPr>
          <w:rFonts w:ascii="Times New Roman" w:hAnsi="Times New Roman"/>
          <w:b w:val="0"/>
          <w:i w:val="0"/>
          <w:color w:val="000000"/>
          <w:sz w:val="20"/>
        </w:rPr>
        <w:t xml:space="preserve"> dan sebagian kecil pada </w:t>
      </w:r>
      <w:r>
        <w:rPr>
          <w:rFonts w:ascii="Times New Roman" w:hAnsi="Times New Roman"/>
          <w:b w:val="0"/>
          <w:i/>
          <w:color w:val="000000"/>
          <w:sz w:val="20"/>
        </w:rPr>
        <w:t>date_registration</w:t>
      </w:r>
      <w:r>
        <w:rPr>
          <w:rFonts w:ascii="Times New Roman" w:hAnsi="Times New Roman"/>
          <w:b w:val="0"/>
          <w:i w:val="0"/>
          <w:color w:val="000000"/>
          <w:sz w:val="20"/>
        </w:rPr>
        <w:t>; keduanya ditangani di dalam pipeline berdasarkan data train-validation.</w:t>
      </w:r>
    </w:p>
    <w:p>
      <w:pPr>
        <w:sectPr>
          <w:type w:val="continuous"/>
          <w:pgSz w:w="12240" w:h="15840"/>
          <w:pgMar w:top="936" w:right="936" w:bottom="936" w:left="936" w:header="432" w:footer="432" w:gutter="0"/>
          <w:cols w:space="360" w:num="2" w:equalWidth="1"/>
          <w:docGrid w:linePitch="360"/>
        </w:sectPr>
      </w:pPr>
    </w:p>
    <w:p>
      <w:pPr>
        <w:keepNext/>
        <w:spacing w:before="80" w:after="20"/>
        <w:jc w:val="center"/>
      </w:pPr>
      <w:r>
        <w:drawing>
          <wp:inline xmlns:a="http://schemas.openxmlformats.org/drawingml/2006/main" xmlns:pic="http://schemas.openxmlformats.org/drawingml/2006/picture">
            <wp:extent cx="6446520" cy="1788630"/>
            <wp:docPr id="1" name="Picture 1" descr="Fig. 1. Distribusi target dan missing value pada dataset pemodelan." title="Fig"/>
            <wp:cNvGraphicFramePr>
              <a:graphicFrameLocks noChangeAspect="1"/>
            </wp:cNvGraphicFramePr>
            <a:graphic>
              <a:graphicData uri="http://schemas.openxmlformats.org/drawingml/2006/picture">
                <pic:pic>
                  <pic:nvPicPr>
                    <pic:cNvPr id="0" name="fig-1-eda.png"/>
                    <pic:cNvPicPr/>
                  </pic:nvPicPr>
                  <pic:blipFill>
                    <a:blip r:embed="rId9"/>
                    <a:stretch>
                      <a:fillRect/>
                    </a:stretch>
                  </pic:blipFill>
                  <pic:spPr>
                    <a:xfrm>
                      <a:off x="0" y="0"/>
                      <a:ext cx="6446520" cy="1788630"/>
                    </a:xfrm>
                    <a:prstGeom prst="rect"/>
                  </pic:spPr>
                </pic:pic>
              </a:graphicData>
            </a:graphic>
          </wp:inline>
        </w:drawing>
      </w:r>
    </w:p>
    <w:p>
      <w:pPr>
        <w:keepLines/>
        <w:spacing w:before="20" w:after="80"/>
        <w:jc w:val="center"/>
      </w:pPr>
      <w:r>
        <w:rPr>
          <w:rFonts w:ascii="Times New Roman" w:hAnsi="Times New Roman"/>
          <w:b w:val="0"/>
          <w:i w:val="0"/>
          <w:color w:val="000000"/>
          <w:sz w:val="16"/>
        </w:rPr>
        <w:t>Fig. 1. Distribusi target dan missing value pada dataset pemodelan.</w:t>
      </w:r>
    </w:p>
    <w:p>
      <w:pPr>
        <w:sectPr>
          <w:type w:val="continuous"/>
          <w:pgSz w:w="12240" w:h="15840"/>
          <w:pgMar w:top="936" w:right="936" w:bottom="936" w:left="936" w:header="432" w:footer="432" w:gutter="0"/>
          <w:cols w:space="360" w:num="1" w:equalWidth="1"/>
          <w:docGrid w:linePitch="360"/>
        </w:sectPr>
      </w:pPr>
    </w:p>
    <w:p>
      <w:pPr>
        <w:pStyle w:val="Heading2"/>
        <w:keepNext/>
        <w:spacing w:before="100" w:after="40"/>
        <w:jc w:val="left"/>
      </w:pPr>
      <w:r>
        <w:rPr>
          <w:rFonts w:ascii="Times New Roman" w:hAnsi="Times New Roman"/>
          <w:i/>
          <w:color w:val="000000"/>
          <w:sz w:val="20"/>
        </w:rPr>
        <w:t>B. Cross-Validation Performance</w:t>
      </w:r>
    </w:p>
    <w:p>
      <w:pPr>
        <w:spacing w:before="0" w:after="60" w:line="240" w:lineRule="auto"/>
        <w:ind w:firstLine="259"/>
        <w:jc w:val="both"/>
      </w:pPr>
      <w:r>
        <w:rPr>
          <w:rFonts w:ascii="Times New Roman" w:hAnsi="Times New Roman"/>
          <w:b w:val="0"/>
          <w:i w:val="0"/>
          <w:color w:val="000000"/>
          <w:sz w:val="20"/>
        </w:rPr>
        <w:t xml:space="preserve">Tabel I menunjukkan rata-rata hasil 5-fold GroupKFold. Random Forest menghasilkan recall </w:t>
      </w:r>
      <w:r>
        <w:rPr>
          <w:rFonts w:ascii="Times New Roman" w:hAnsi="Times New Roman"/>
          <w:b w:val="0"/>
          <w:i/>
          <w:color w:val="000000"/>
          <w:sz w:val="20"/>
        </w:rPr>
        <w:t>AtRisk</w:t>
      </w:r>
      <w:r>
        <w:rPr>
          <w:rFonts w:ascii="Times New Roman" w:hAnsi="Times New Roman"/>
          <w:b w:val="0"/>
          <w:i w:val="0"/>
          <w:color w:val="000000"/>
          <w:sz w:val="20"/>
        </w:rPr>
        <w:t xml:space="preserve"> tertinggi sebesar 0,7126 dan F1-score 0,7536. XGBoost menghasilkan accuracy dan ROC-AUC tertinggi, masing-masing sebesar 0,7582 dan 0,8440. Berdasarkan kriteria pemilihan yang memprioritaskan recall, Random Forest dipilih sebagai model final.</w:t>
      </w:r>
    </w:p>
    <w:p>
      <w:pPr>
        <w:keepNext/>
        <w:spacing w:before="80" w:after="40"/>
        <w:jc w:val="center"/>
      </w:pPr>
      <w:r>
        <w:rPr>
          <w:rFonts w:ascii="Times New Roman" w:hAnsi="Times New Roman"/>
          <w:color w:val="000000"/>
          <w:sz w:val="16"/>
        </w:rPr>
        <w:t>TABLE I</w:t>
        <w:br/>
      </w:r>
      <w:r>
        <w:rPr>
          <w:rFonts w:ascii="Times New Roman" w:hAnsi="Times New Roman"/>
          <w:color w:val="000000"/>
          <w:sz w:val="16"/>
        </w:rPr>
        <w:t>HASIL 5-FOLD GROUPKFOLD PADA TRAIN-VALIDATION</w:t>
      </w:r>
    </w:p>
    <w:tbl>
      <w:tblPr>
        <w:tblStyle w:val="TableGrid"/>
        <w:tblW w:type="dxa" w:w="4800"/>
        <w:jc w:val="center"/>
        <w:tblLayout w:type="fixed"/>
        <w:tblLook w:firstColumn="1" w:firstRow="1" w:lastColumn="0" w:lastRow="0" w:noHBand="0" w:noVBand="1" w:val="04A0"/>
      </w:tblPr>
      <w:tblGrid>
        <w:gridCol w:w="1100"/>
        <w:gridCol w:w="1233"/>
        <w:gridCol w:w="1233"/>
        <w:gridCol w:w="1234"/>
      </w:tblGrid>
      <w:tr>
        <w:trPr>
          <w:tblHeader/>
        </w:trPr>
        <w:tc>
          <w:tcPr>
            <w:tcW w:type="dxa" w:w="11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Metrik</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Logistic Regression</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234"/>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XGBoost</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0,7484 ± 0,0033</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0,7538 ± 0,0033</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0,7582 ± 0,0041</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Precision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0,8081 ± 0,0063</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0,7999 ± 0,0148</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0,8217 ± 0,0093</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Recall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0,6871 ± 0,0038</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0,7126 ± 0,0040</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0,6931 ± 0,0033</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F1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0,7427 ± 0,0043</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0,7536 ± 0,0050</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0,7519 ± 0,0028</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ROC-AUC</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0,8324 ± 0,0028</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0,8362 ± 0,0026</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0,8440 ± 0,0020</w:t>
            </w:r>
          </w:p>
        </w:tc>
      </w:tr>
    </w:tbl>
    <w:p>
      <w:pPr>
        <w:pStyle w:val="Heading2"/>
        <w:keepNext/>
        <w:spacing w:before="100" w:after="40"/>
        <w:jc w:val="left"/>
      </w:pPr>
      <w:r>
        <w:rPr>
          <w:rFonts w:ascii="Times New Roman" w:hAnsi="Times New Roman"/>
          <w:i/>
          <w:color w:val="000000"/>
          <w:sz w:val="20"/>
        </w:rPr>
        <w:t>C. Hold-Out Test Performance</w:t>
      </w:r>
    </w:p>
    <w:p>
      <w:pPr>
        <w:spacing w:before="0" w:after="60" w:line="240" w:lineRule="auto"/>
        <w:ind w:firstLine="259"/>
        <w:jc w:val="both"/>
      </w:pPr>
      <w:r>
        <w:rPr>
          <w:rFonts w:ascii="Times New Roman" w:hAnsi="Times New Roman"/>
          <w:b w:val="0"/>
          <w:i w:val="0"/>
          <w:color w:val="000000"/>
          <w:sz w:val="20"/>
        </w:rPr>
        <w:t xml:space="preserve">Tabel II memperlihatkan performa pada hold-out test. Random Forest mencapai accuracy 0,7592, precision </w:t>
      </w:r>
      <w:r>
        <w:rPr>
          <w:rFonts w:ascii="Times New Roman" w:hAnsi="Times New Roman"/>
          <w:b w:val="0"/>
          <w:i/>
          <w:color w:val="000000"/>
          <w:sz w:val="20"/>
        </w:rPr>
        <w:t>AtRisk</w:t>
      </w:r>
      <w:r>
        <w:rPr>
          <w:rFonts w:ascii="Times New Roman" w:hAnsi="Times New Roman"/>
          <w:b w:val="0"/>
          <w:i w:val="0"/>
          <w:color w:val="000000"/>
          <w:sz w:val="20"/>
        </w:rPr>
        <w:t xml:space="preserve"> 0,8032, recall 0,7172, F1-score 0,7578, dan ROC-AUC 0,8396. XGBoost menghasilkan accuracy 0,7633 dan ROC-AUC 0,8440, sedangkan recall </w:t>
      </w:r>
      <w:r>
        <w:rPr>
          <w:rFonts w:ascii="Times New Roman" w:hAnsi="Times New Roman"/>
          <w:b w:val="0"/>
          <w:i/>
          <w:color w:val="000000"/>
          <w:sz w:val="20"/>
        </w:rPr>
        <w:t>AtRisk</w:t>
      </w:r>
      <w:r>
        <w:rPr>
          <w:rFonts w:ascii="Times New Roman" w:hAnsi="Times New Roman"/>
          <w:b w:val="0"/>
          <w:i w:val="0"/>
          <w:color w:val="000000"/>
          <w:sz w:val="20"/>
        </w:rPr>
        <w:t xml:space="preserve"> berada pada 0,7054. Logistic Regression menghasilkan recall terendah sebesar 0,6869.</w:t>
      </w:r>
    </w:p>
    <w:p>
      <w:pPr>
        <w:keepNext/>
        <w:spacing w:before="80" w:after="40"/>
        <w:jc w:val="center"/>
      </w:pPr>
      <w:r>
        <w:rPr>
          <w:rFonts w:ascii="Times New Roman" w:hAnsi="Times New Roman"/>
          <w:color w:val="000000"/>
          <w:sz w:val="16"/>
        </w:rPr>
        <w:t>TABLE II</w:t>
        <w:br/>
      </w:r>
      <w:r>
        <w:rPr>
          <w:rFonts w:ascii="Times New Roman" w:hAnsi="Times New Roman"/>
          <w:color w:val="000000"/>
          <w:sz w:val="16"/>
        </w:rPr>
        <w:t>PERFORMA MODEL PADA HOLD-OUT TEST</w:t>
      </w:r>
    </w:p>
    <w:tbl>
      <w:tblPr>
        <w:tblStyle w:val="TableGrid"/>
        <w:tblW w:type="dxa" w:w="4800"/>
        <w:jc w:val="center"/>
        <w:tblLayout w:type="fixed"/>
        <w:tblLook w:firstColumn="1" w:firstRow="1" w:lastColumn="0" w:lastRow="0" w:noHBand="0" w:noVBand="1" w:val="04A0"/>
      </w:tblPr>
      <w:tblGrid>
        <w:gridCol w:w="1100"/>
        <w:gridCol w:w="1233"/>
        <w:gridCol w:w="1233"/>
        <w:gridCol w:w="1234"/>
      </w:tblGrid>
      <w:tr>
        <w:trPr>
          <w:tblHeader/>
        </w:trPr>
        <w:tc>
          <w:tcPr>
            <w:tcW w:type="dxa" w:w="11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Metrik</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Logistic Regression</w:t>
            </w:r>
          </w:p>
        </w:tc>
        <w:tc>
          <w:tcPr>
            <w:tcW w:type="dxa" w:w="1233"/>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234"/>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XGBoost</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0,7476</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0,7592</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0,7633</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Precision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0,8040</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0,8032</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0,8186</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Recall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0,6869</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0,7172</w:t>
            </w:r>
          </w:p>
        </w:tc>
        <w:tc>
          <w:tcPr>
            <w:tcW w:type="dxa" w:w="1234"/>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0,7054</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F1 AtRisk</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0,7408</w:t>
            </w:r>
          </w:p>
        </w:tc>
        <w:tc>
          <w:tcPr>
            <w:tcW w:type="dxa" w:w="1233"/>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0,7578</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0,7578</w:t>
            </w:r>
          </w:p>
        </w:tc>
      </w:tr>
      <w:tr>
        <w:tc>
          <w:tcPr>
            <w:tcW w:type="dxa" w:w="11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ROC-AUC</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0,8298</w:t>
            </w:r>
          </w:p>
        </w:tc>
        <w:tc>
          <w:tcPr>
            <w:tcW w:type="dxa" w:w="1233"/>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0,8396</w:t>
            </w:r>
          </w:p>
        </w:tc>
        <w:tc>
          <w:tcPr>
            <w:tcW w:type="dxa" w:w="1234"/>
            <w:tcMar>
              <w:top w:w="60" w:type="dxa"/>
              <w:start w:w="80" w:type="dxa"/>
              <w:bottom w:w="60" w:type="dxa"/>
              <w:end w:w="80" w:type="dxa"/>
            </w:tcMar>
            <w:vAlign w:val="center"/>
          </w:tcPr>
          <w:p>
            <w:pPr>
              <w:spacing w:after="0"/>
              <w:jc w:val="center"/>
            </w:pPr>
            <w:r/>
            <w:r>
              <w:rPr>
                <w:rFonts w:ascii="Times New Roman" w:hAnsi="Times New Roman"/>
                <w:b/>
                <w:i w:val="0"/>
                <w:color w:val="000000"/>
                <w:sz w:val="13"/>
              </w:rPr>
              <w:t>0,8440</w:t>
            </w:r>
          </w:p>
        </w:tc>
      </w:tr>
    </w:tbl>
    <w:p>
      <w:pPr>
        <w:spacing w:before="0" w:after="60" w:line="240" w:lineRule="auto"/>
        <w:ind w:firstLine="259"/>
        <w:jc w:val="both"/>
      </w:pPr>
      <w:r>
        <w:rPr>
          <w:rFonts w:ascii="Times New Roman" w:hAnsi="Times New Roman"/>
          <w:b w:val="0"/>
          <w:i w:val="0"/>
          <w:color w:val="000000"/>
          <w:sz w:val="20"/>
        </w:rPr>
        <w:t xml:space="preserve">Classification report Random Forest menunjukkan precision 0,80, recall 0,72, dan F1-score 0,76 pada 3.398 kasus </w:t>
      </w:r>
      <w:r>
        <w:rPr>
          <w:rFonts w:ascii="Times New Roman" w:hAnsi="Times New Roman"/>
          <w:b w:val="0"/>
          <w:i/>
          <w:color w:val="000000"/>
          <w:sz w:val="20"/>
        </w:rPr>
        <w:t>AtRisk</w:t>
      </w:r>
      <w:r>
        <w:rPr>
          <w:rFonts w:ascii="Times New Roman" w:hAnsi="Times New Roman"/>
          <w:b w:val="0"/>
          <w:i w:val="0"/>
          <w:color w:val="000000"/>
          <w:sz w:val="20"/>
        </w:rPr>
        <w:t xml:space="preserve">. Pada 3.073 kasus </w:t>
      </w:r>
      <w:r>
        <w:rPr>
          <w:rFonts w:ascii="Times New Roman" w:hAnsi="Times New Roman"/>
          <w:b w:val="0"/>
          <w:i/>
          <w:color w:val="000000"/>
          <w:sz w:val="20"/>
        </w:rPr>
        <w:t>Successful</w:t>
      </w:r>
      <w:r>
        <w:rPr>
          <w:rFonts w:ascii="Times New Roman" w:hAnsi="Times New Roman"/>
          <w:b w:val="0"/>
          <w:i w:val="0"/>
          <w:color w:val="000000"/>
          <w:sz w:val="20"/>
        </w:rPr>
        <w:t>, precision mencapai 0,72, recall 0,81, dan F1-score 0,76. Weighted average F1-score mencapai 0,76.</w:t>
      </w:r>
    </w:p>
    <w:p>
      <w:pPr>
        <w:spacing w:before="0" w:after="60" w:line="240" w:lineRule="auto"/>
        <w:ind w:firstLine="259"/>
        <w:jc w:val="both"/>
      </w:pPr>
      <w:r>
        <w:rPr>
          <w:rFonts w:ascii="Times New Roman" w:hAnsi="Times New Roman"/>
          <w:b w:val="0"/>
          <w:i w:val="0"/>
          <w:color w:val="000000"/>
          <w:sz w:val="20"/>
        </w:rPr>
        <w:t xml:space="preserve">Fig. 2 merangkum perbandingan metrik, confusion matrix Random Forest, dan kurva ROC. Confusion matrix menunjukkan 2.437 kasus </w:t>
      </w:r>
      <w:r>
        <w:rPr>
          <w:rFonts w:ascii="Times New Roman" w:hAnsi="Times New Roman"/>
          <w:b w:val="0"/>
          <w:i/>
          <w:color w:val="000000"/>
          <w:sz w:val="20"/>
        </w:rPr>
        <w:t>AtRisk</w:t>
      </w:r>
      <w:r>
        <w:rPr>
          <w:rFonts w:ascii="Times New Roman" w:hAnsi="Times New Roman"/>
          <w:b w:val="0"/>
          <w:i w:val="0"/>
          <w:color w:val="000000"/>
          <w:sz w:val="20"/>
        </w:rPr>
        <w:t xml:space="preserve"> terdeteksi dan 961 kasus </w:t>
      </w:r>
      <w:r>
        <w:rPr>
          <w:rFonts w:ascii="Times New Roman" w:hAnsi="Times New Roman"/>
          <w:b w:val="0"/>
          <w:i/>
          <w:color w:val="000000"/>
          <w:sz w:val="20"/>
        </w:rPr>
        <w:t>AtRisk</w:t>
      </w:r>
      <w:r>
        <w:rPr>
          <w:rFonts w:ascii="Times New Roman" w:hAnsi="Times New Roman"/>
          <w:b w:val="0"/>
          <w:i w:val="0"/>
          <w:color w:val="000000"/>
          <w:sz w:val="20"/>
        </w:rPr>
        <w:t xml:space="preserve"> belum terdeteksi pada hold-out test. Kedekatan kurva ROC ketiga model konsisten dengan selisih ROC-AUC yang relatif kecil.</w:t>
      </w:r>
    </w:p>
    <w:p>
      <w:pPr>
        <w:sectPr>
          <w:type w:val="continuous"/>
          <w:pgSz w:w="12240" w:h="15840"/>
          <w:pgMar w:top="936" w:right="936" w:bottom="936" w:left="936" w:header="432" w:footer="432" w:gutter="0"/>
          <w:cols w:space="360" w:num="2" w:equalWidth="1"/>
          <w:docGrid w:linePitch="360"/>
        </w:sectPr>
      </w:pPr>
    </w:p>
    <w:p>
      <w:pPr>
        <w:keepNext/>
        <w:spacing w:before="80" w:after="20"/>
        <w:jc w:val="center"/>
      </w:pPr>
      <w:r>
        <w:drawing>
          <wp:inline xmlns:a="http://schemas.openxmlformats.org/drawingml/2006/main" xmlns:pic="http://schemas.openxmlformats.org/drawingml/2006/picture">
            <wp:extent cx="6446520" cy="1572639"/>
            <wp:docPr id="2" name="Picture 2" descr="Fig. 2. Perbandingan metrik, confusion matrix Random Forest, dan kurva ROC pada hold-out test." title="Fig"/>
            <wp:cNvGraphicFramePr>
              <a:graphicFrameLocks noChangeAspect="1"/>
            </wp:cNvGraphicFramePr>
            <a:graphic>
              <a:graphicData uri="http://schemas.openxmlformats.org/drawingml/2006/picture">
                <pic:pic>
                  <pic:nvPicPr>
                    <pic:cNvPr id="0" name="fig-2-model-evaluation.png"/>
                    <pic:cNvPicPr/>
                  </pic:nvPicPr>
                  <pic:blipFill>
                    <a:blip r:embed="rId10"/>
                    <a:stretch>
                      <a:fillRect/>
                    </a:stretch>
                  </pic:blipFill>
                  <pic:spPr>
                    <a:xfrm>
                      <a:off x="0" y="0"/>
                      <a:ext cx="6446520" cy="1572639"/>
                    </a:xfrm>
                    <a:prstGeom prst="rect"/>
                  </pic:spPr>
                </pic:pic>
              </a:graphicData>
            </a:graphic>
          </wp:inline>
        </w:drawing>
      </w:r>
    </w:p>
    <w:p>
      <w:pPr>
        <w:keepLines/>
        <w:spacing w:before="20" w:after="80"/>
        <w:jc w:val="center"/>
      </w:pPr>
      <w:r>
        <w:rPr>
          <w:rFonts w:ascii="Times New Roman" w:hAnsi="Times New Roman"/>
          <w:b w:val="0"/>
          <w:i w:val="0"/>
          <w:color w:val="000000"/>
          <w:sz w:val="16"/>
        </w:rPr>
        <w:t>Fig. 2. Perbandingan metrik, confusion matrix Random Forest, dan kurva ROC pada hold-out test.</w:t>
      </w:r>
    </w:p>
    <w:p>
      <w:pPr>
        <w:sectPr>
          <w:type w:val="continuous"/>
          <w:pgSz w:w="12240" w:h="15840"/>
          <w:pgMar w:top="936" w:right="936" w:bottom="936" w:left="936" w:header="432" w:footer="432" w:gutter="0"/>
          <w:cols w:space="360" w:num="1" w:equalWidth="1"/>
          <w:docGrid w:linePitch="360"/>
        </w:sectPr>
      </w:pPr>
    </w:p>
    <w:p>
      <w:pPr>
        <w:spacing w:before="0" w:after="60" w:line="240" w:lineRule="auto"/>
        <w:ind w:firstLine="259"/>
        <w:jc w:val="both"/>
      </w:pPr>
      <w:r>
        <w:rPr>
          <w:rFonts w:ascii="Times New Roman" w:hAnsi="Times New Roman"/>
          <w:b w:val="0"/>
          <w:i w:val="0"/>
          <w:color w:val="000000"/>
          <w:sz w:val="20"/>
        </w:rPr>
        <w:t>Feature importance pada Fig. 3 menunjukkan bahwa total klik VLE, hari aktivitas terakhir, jumlah hari aktif VLE, dan jumlah situs VLE menjadi prediktor teratas. Fitur assessment dan registrasi juga berkontribusi. Nilai importance menunjukkan kontribusi prediktif dalam Random Forest dan tidak menyatakan hubungan sebab akibat.</w:t>
      </w:r>
    </w:p>
    <w:p>
      <w:pPr>
        <w:sectPr>
          <w:type w:val="continuous"/>
          <w:pgSz w:w="12240" w:h="15840"/>
          <w:pgMar w:top="936" w:right="936" w:bottom="936" w:left="936" w:header="432" w:footer="432" w:gutter="0"/>
          <w:cols w:space="360" w:num="2" w:equalWidth="1"/>
          <w:docGrid w:linePitch="360"/>
        </w:sectPr>
      </w:pPr>
    </w:p>
    <w:p>
      <w:pPr>
        <w:keepNext/>
        <w:spacing w:before="80" w:after="20"/>
        <w:jc w:val="center"/>
      </w:pPr>
      <w:r>
        <w:drawing>
          <wp:inline xmlns:a="http://schemas.openxmlformats.org/drawingml/2006/main" xmlns:pic="http://schemas.openxmlformats.org/drawingml/2006/picture">
            <wp:extent cx="4754880" cy="2816278"/>
            <wp:docPr id="3" name="Picture 3" descr="Fig. 3. Lima belas fitur dengan feature importance tertinggi pada Random Forest." title="Fig"/>
            <wp:cNvGraphicFramePr>
              <a:graphicFrameLocks noChangeAspect="1"/>
            </wp:cNvGraphicFramePr>
            <a:graphic>
              <a:graphicData uri="http://schemas.openxmlformats.org/drawingml/2006/picture">
                <pic:pic>
                  <pic:nvPicPr>
                    <pic:cNvPr id="0" name="fig-3-feature-importance.png"/>
                    <pic:cNvPicPr/>
                  </pic:nvPicPr>
                  <pic:blipFill>
                    <a:blip r:embed="rId11"/>
                    <a:stretch>
                      <a:fillRect/>
                    </a:stretch>
                  </pic:blipFill>
                  <pic:spPr>
                    <a:xfrm>
                      <a:off x="0" y="0"/>
                      <a:ext cx="4754880" cy="2816278"/>
                    </a:xfrm>
                    <a:prstGeom prst="rect"/>
                  </pic:spPr>
                </pic:pic>
              </a:graphicData>
            </a:graphic>
          </wp:inline>
        </w:drawing>
      </w:r>
    </w:p>
    <w:p>
      <w:pPr>
        <w:keepLines/>
        <w:spacing w:before="20" w:after="80"/>
        <w:jc w:val="center"/>
      </w:pPr>
      <w:r>
        <w:rPr>
          <w:rFonts w:ascii="Times New Roman" w:hAnsi="Times New Roman"/>
          <w:b w:val="0"/>
          <w:i w:val="0"/>
          <w:color w:val="000000"/>
          <w:sz w:val="16"/>
        </w:rPr>
        <w:t>Fig. 3. Lima belas fitur dengan feature importance tertinggi pada Random Forest.</w:t>
      </w:r>
    </w:p>
    <w:p>
      <w:pPr>
        <w:sectPr>
          <w:type w:val="continuous"/>
          <w:pgSz w:w="12240" w:h="15840"/>
          <w:pgMar w:top="936" w:right="936" w:bottom="936" w:left="936" w:header="432" w:footer="432" w:gutter="0"/>
          <w:cols w:space="360" w:num="1" w:equalWidth="1"/>
          <w:docGrid w:linePitch="360"/>
        </w:sectPr>
      </w:pPr>
    </w:p>
    <w:p>
      <w:pPr>
        <w:pStyle w:val="Heading2"/>
        <w:keepNext/>
        <w:spacing w:before="100" w:after="40"/>
        <w:jc w:val="left"/>
      </w:pPr>
      <w:r>
        <w:rPr>
          <w:rFonts w:ascii="Times New Roman" w:hAnsi="Times New Roman"/>
          <w:i/>
          <w:color w:val="000000"/>
          <w:sz w:val="20"/>
        </w:rPr>
        <w:t>D. Knowledge-Based Risk Layer</w:t>
      </w:r>
    </w:p>
    <w:p>
      <w:pPr>
        <w:spacing w:before="0" w:after="60" w:line="240" w:lineRule="auto"/>
        <w:ind w:firstLine="259"/>
        <w:jc w:val="both"/>
      </w:pPr>
      <w:r>
        <w:rPr>
          <w:rFonts w:ascii="Times New Roman" w:hAnsi="Times New Roman"/>
          <w:b w:val="0"/>
          <w:i w:val="0"/>
          <w:color w:val="000000"/>
          <w:sz w:val="20"/>
        </w:rPr>
        <w:t xml:space="preserve">Threshold kuartil bawah data train-validation adalah skor assessment 0, jumlah assessment 0, total klik VLE 47, dan hari aktif VLE 4. Nilai nol pada indikator assessment menunjukkan bahwa sebagian mahasiswa belum mengumpulkan assessment sampai akhir minggu keempat. Knowledge layer menghasilkan 1.795 </w:t>
      </w:r>
      <w:r>
        <w:rPr>
          <w:rFonts w:ascii="Times New Roman" w:hAnsi="Times New Roman"/>
          <w:b w:val="0"/>
          <w:i/>
          <w:color w:val="000000"/>
          <w:sz w:val="20"/>
        </w:rPr>
        <w:t>High Risk</w:t>
      </w:r>
      <w:r>
        <w:rPr>
          <w:rFonts w:ascii="Times New Roman" w:hAnsi="Times New Roman"/>
          <w:b w:val="0"/>
          <w:i w:val="0"/>
          <w:color w:val="000000"/>
          <w:sz w:val="20"/>
        </w:rPr>
        <w:t xml:space="preserve">, 1.994 </w:t>
      </w:r>
      <w:r>
        <w:rPr>
          <w:rFonts w:ascii="Times New Roman" w:hAnsi="Times New Roman"/>
          <w:b w:val="0"/>
          <w:i/>
          <w:color w:val="000000"/>
          <w:sz w:val="20"/>
        </w:rPr>
        <w:t>Medium Risk</w:t>
      </w:r>
      <w:r>
        <w:rPr>
          <w:rFonts w:ascii="Times New Roman" w:hAnsi="Times New Roman"/>
          <w:b w:val="0"/>
          <w:i w:val="0"/>
          <w:color w:val="000000"/>
          <w:sz w:val="20"/>
        </w:rPr>
        <w:t xml:space="preserve">, dan 2.682 </w:t>
      </w:r>
      <w:r>
        <w:rPr>
          <w:rFonts w:ascii="Times New Roman" w:hAnsi="Times New Roman"/>
          <w:b w:val="0"/>
          <w:i/>
          <w:color w:val="000000"/>
          <w:sz w:val="20"/>
        </w:rPr>
        <w:t>Low Risk</w:t>
      </w:r>
      <w:r>
        <w:rPr>
          <w:rFonts w:ascii="Times New Roman" w:hAnsi="Times New Roman"/>
          <w:b w:val="0"/>
          <w:i w:val="0"/>
          <w:color w:val="000000"/>
          <w:sz w:val="20"/>
        </w:rPr>
        <w:t xml:space="preserve"> pada hold-out test.</w:t>
      </w:r>
    </w:p>
    <w:p>
      <w:pPr>
        <w:spacing w:before="0" w:after="60" w:line="240" w:lineRule="auto"/>
        <w:ind w:firstLine="259"/>
        <w:jc w:val="both"/>
      </w:pPr>
      <w:r>
        <w:rPr>
          <w:rFonts w:ascii="Times New Roman" w:hAnsi="Times New Roman"/>
          <w:b w:val="0"/>
          <w:i w:val="0"/>
          <w:color w:val="000000"/>
          <w:sz w:val="20"/>
        </w:rPr>
        <w:t>Tabel III membandingkan Random Forest dengan sistem gabungan. Knowledge layer meningkatkan recall dari 0,7172 menjadi 0,7849. Precision berubah dari 0,8032 menjadi 0,7039, sedangkan accuracy berubah dari 0,7592 menjadi 0,7136. Perubahan tersebut menunjukkan perluasan cakupan deteksi disertai peningkatan jumlah alarm yang memerlukan verifikasi stakeholder.</w:t>
      </w:r>
    </w:p>
    <w:p>
      <w:pPr>
        <w:keepNext/>
        <w:spacing w:before="80" w:after="40"/>
        <w:jc w:val="center"/>
      </w:pPr>
      <w:r>
        <w:rPr>
          <w:rFonts w:ascii="Times New Roman" w:hAnsi="Times New Roman"/>
          <w:color w:val="000000"/>
          <w:sz w:val="16"/>
        </w:rPr>
        <w:t>TABLE III</w:t>
        <w:br/>
      </w:r>
      <w:r>
        <w:rPr>
          <w:rFonts w:ascii="Times New Roman" w:hAnsi="Times New Roman"/>
          <w:color w:val="000000"/>
          <w:sz w:val="16"/>
        </w:rPr>
        <w:t>PERBANDINGAN MODEL DAN KNOWLEDGE-BASED RISK LAYER</w:t>
      </w:r>
    </w:p>
    <w:tbl>
      <w:tblPr>
        <w:tblStyle w:val="TableGrid"/>
        <w:tblW w:type="dxa" w:w="4800"/>
        <w:jc w:val="center"/>
        <w:tblLayout w:type="fixed"/>
        <w:tblLook w:firstColumn="1" w:firstRow="1" w:lastColumn="0" w:lastRow="0" w:noHBand="0" w:noVBand="1" w:val="04A0"/>
      </w:tblPr>
      <w:tblGrid>
        <w:gridCol w:w="1400"/>
        <w:gridCol w:w="1700"/>
        <w:gridCol w:w="1700"/>
      </w:tblGrid>
      <w:tr>
        <w:trPr>
          <w:tblHeader/>
        </w:trPr>
        <w:tc>
          <w:tcPr>
            <w:tcW w:type="dxa" w:w="1400"/>
            <w:tcMar>
              <w:top w:w="60" w:type="dxa"/>
              <w:start w:w="80" w:type="dxa"/>
              <w:bottom w:w="60" w:type="dxa"/>
              <w:end w:w="80" w:type="dxa"/>
            </w:tcMar>
            <w:vAlign w:val="center"/>
            <w:shd w:fill="E7E6E6"/>
          </w:tcPr>
          <w:p>
            <w:pPr>
              <w:spacing w:after="0"/>
              <w:jc w:val="left"/>
            </w:pPr>
            <w:r/>
            <w:r>
              <w:rPr>
                <w:rFonts w:ascii="Times New Roman" w:hAnsi="Times New Roman"/>
                <w:b/>
                <w:i w:val="0"/>
                <w:color w:val="000000"/>
                <w:sz w:val="13"/>
              </w:rPr>
              <w:t>Metrik</w:t>
            </w:r>
          </w:p>
        </w:tc>
        <w:tc>
          <w:tcPr>
            <w:tcW w:type="dxa" w:w="1700"/>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Random Forest</w:t>
            </w:r>
          </w:p>
        </w:tc>
        <w:tc>
          <w:tcPr>
            <w:tcW w:type="dxa" w:w="1700"/>
            <w:tcMar>
              <w:top w:w="60" w:type="dxa"/>
              <w:start w:w="80" w:type="dxa"/>
              <w:bottom w:w="60" w:type="dxa"/>
              <w:end w:w="80" w:type="dxa"/>
            </w:tcMar>
            <w:vAlign w:val="center"/>
            <w:shd w:fill="E7E6E6"/>
          </w:tcPr>
          <w:p>
            <w:pPr>
              <w:spacing w:after="0"/>
              <w:jc w:val="center"/>
            </w:pPr>
            <w:r/>
            <w:r>
              <w:rPr>
                <w:rFonts w:ascii="Times New Roman" w:hAnsi="Times New Roman"/>
                <w:b/>
                <w:i w:val="0"/>
                <w:color w:val="000000"/>
                <w:sz w:val="13"/>
              </w:rPr>
              <w:t>RF + Knowledge Layer</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Accuracy</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0,7592</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0,7136</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Precision AtRisk</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0,8032</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0,7039</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Recall AtRisk</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0,7172</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0,7849</w:t>
            </w:r>
          </w:p>
        </w:tc>
      </w:tr>
      <w:tr>
        <w:tc>
          <w:tcPr>
            <w:tcW w:type="dxa" w:w="1400"/>
            <w:tcMar>
              <w:top w:w="60" w:type="dxa"/>
              <w:start w:w="80" w:type="dxa"/>
              <w:bottom w:w="60" w:type="dxa"/>
              <w:end w:w="80" w:type="dxa"/>
            </w:tcMar>
            <w:vAlign w:val="center"/>
          </w:tcPr>
          <w:p>
            <w:pPr>
              <w:spacing w:after="0"/>
              <w:jc w:val="left"/>
            </w:pPr>
            <w:r/>
            <w:r>
              <w:rPr>
                <w:rFonts w:ascii="Times New Roman" w:hAnsi="Times New Roman"/>
                <w:b w:val="0"/>
                <w:i w:val="0"/>
                <w:color w:val="000000"/>
                <w:sz w:val="13"/>
              </w:rPr>
              <w:t>F1 AtRisk</w:t>
            </w:r>
          </w:p>
        </w:tc>
        <w:tc>
          <w:tcPr>
            <w:tcW w:type="dxa" w:w="1700"/>
            <w:tcMar>
              <w:top w:w="60" w:type="dxa"/>
              <w:start w:w="80" w:type="dxa"/>
              <w:bottom w:w="60" w:type="dxa"/>
              <w:end w:w="80" w:type="dxa"/>
            </w:tcMar>
            <w:vAlign w:val="center"/>
          </w:tcPr>
          <w:p>
            <w:pPr>
              <w:spacing w:after="0"/>
              <w:jc w:val="center"/>
            </w:pPr>
            <w:r/>
            <w:r>
              <w:rPr>
                <w:rFonts w:ascii="Times New Roman" w:hAnsi="Times New Roman"/>
                <w:b/>
                <w:i w:val="0"/>
                <w:color w:val="000000"/>
                <w:sz w:val="13"/>
              </w:rPr>
              <w:t>0,7578</w:t>
            </w:r>
          </w:p>
        </w:tc>
        <w:tc>
          <w:tcPr>
            <w:tcW w:type="dxa" w:w="1700"/>
            <w:tcMar>
              <w:top w:w="60" w:type="dxa"/>
              <w:start w:w="80" w:type="dxa"/>
              <w:bottom w:w="60" w:type="dxa"/>
              <w:end w:w="80" w:type="dxa"/>
            </w:tcMar>
            <w:vAlign w:val="center"/>
          </w:tcPr>
          <w:p>
            <w:pPr>
              <w:spacing w:after="0"/>
              <w:jc w:val="center"/>
            </w:pPr>
            <w:r/>
            <w:r>
              <w:rPr>
                <w:rFonts w:ascii="Times New Roman" w:hAnsi="Times New Roman"/>
                <w:b w:val="0"/>
                <w:i w:val="0"/>
                <w:color w:val="000000"/>
                <w:sz w:val="13"/>
              </w:rPr>
              <w:t>0,7422</w:t>
            </w:r>
          </w:p>
        </w:tc>
      </w:tr>
    </w:tbl>
    <w:p>
      <w:pPr>
        <w:pStyle w:val="Heading2"/>
        <w:keepNext/>
        <w:spacing w:before="100" w:after="40"/>
        <w:jc w:val="left"/>
      </w:pPr>
      <w:r>
        <w:rPr>
          <w:rFonts w:ascii="Times New Roman" w:hAnsi="Times New Roman"/>
          <w:i/>
          <w:color w:val="000000"/>
          <w:sz w:val="20"/>
        </w:rPr>
        <w:t>E. Business Intelligence Output</w:t>
      </w:r>
    </w:p>
    <w:p>
      <w:pPr>
        <w:spacing w:before="0" w:after="60" w:line="240" w:lineRule="auto"/>
        <w:ind w:firstLine="259"/>
        <w:jc w:val="both"/>
      </w:pPr>
      <w:r>
        <w:rPr>
          <w:rFonts w:ascii="Times New Roman" w:hAnsi="Times New Roman"/>
          <w:b w:val="0"/>
          <w:i w:val="0"/>
          <w:color w:val="000000"/>
          <w:sz w:val="20"/>
        </w:rPr>
        <w:t xml:space="preserve">Dashboard mengidentifikasi 3.789 student-module-presentation dalam antrean </w:t>
      </w:r>
      <w:r>
        <w:rPr>
          <w:rFonts w:ascii="Times New Roman" w:hAnsi="Times New Roman"/>
          <w:b w:val="0"/>
          <w:i/>
          <w:color w:val="000000"/>
          <w:sz w:val="20"/>
        </w:rPr>
        <w:t>High Risk</w:t>
      </w:r>
      <w:r>
        <w:rPr>
          <w:rFonts w:ascii="Times New Roman" w:hAnsi="Times New Roman"/>
          <w:b w:val="0"/>
          <w:i w:val="0"/>
          <w:color w:val="000000"/>
          <w:sz w:val="20"/>
        </w:rPr>
        <w:t xml:space="preserve"> atau </w:t>
      </w:r>
      <w:r>
        <w:rPr>
          <w:rFonts w:ascii="Times New Roman" w:hAnsi="Times New Roman"/>
          <w:b w:val="0"/>
          <w:i/>
          <w:color w:val="000000"/>
          <w:sz w:val="20"/>
        </w:rPr>
        <w:t>Medium Risk</w:t>
      </w:r>
      <w:r>
        <w:rPr>
          <w:rFonts w:ascii="Times New Roman" w:hAnsi="Times New Roman"/>
          <w:b w:val="0"/>
          <w:i w:val="0"/>
          <w:color w:val="000000"/>
          <w:sz w:val="20"/>
        </w:rPr>
        <w:t xml:space="preserve">. Sinyal paling dominan adalah skor assessment rendah dengan 2.341 kasus. Module GGG presentation 2014J memiliki proporsi prioritas tertinggi pada hold-out test, yaitu 100% kasus </w:t>
      </w:r>
      <w:r>
        <w:rPr>
          <w:rFonts w:ascii="Times New Roman" w:hAnsi="Times New Roman"/>
          <w:b w:val="0"/>
          <w:i/>
          <w:color w:val="000000"/>
          <w:sz w:val="20"/>
        </w:rPr>
        <w:t>High Risk</w:t>
      </w:r>
      <w:r>
        <w:rPr>
          <w:rFonts w:ascii="Times New Roman" w:hAnsi="Times New Roman"/>
          <w:b w:val="0"/>
          <w:i w:val="0"/>
          <w:color w:val="000000"/>
          <w:sz w:val="20"/>
        </w:rPr>
        <w:t xml:space="preserve"> atau </w:t>
      </w:r>
      <w:r>
        <w:rPr>
          <w:rFonts w:ascii="Times New Roman" w:hAnsi="Times New Roman"/>
          <w:b w:val="0"/>
          <w:i/>
          <w:color w:val="000000"/>
          <w:sz w:val="20"/>
        </w:rPr>
        <w:t>Medium Risk</w:t>
      </w:r>
      <w:r>
        <w:rPr>
          <w:rFonts w:ascii="Times New Roman" w:hAnsi="Times New Roman"/>
          <w:b w:val="0"/>
          <w:i w:val="0"/>
          <w:color w:val="000000"/>
          <w:sz w:val="20"/>
        </w:rPr>
        <w:t>. Indikator tersebut berfungsi sebagai sinyal untuk peninjauan konteks modul dan kapasitas intervensi.</w:t>
      </w:r>
    </w:p>
    <w:p>
      <w:pPr>
        <w:spacing w:before="0" w:after="60" w:line="240" w:lineRule="auto"/>
        <w:ind w:firstLine="259"/>
        <w:jc w:val="both"/>
      </w:pPr>
      <w:r>
        <w:rPr>
          <w:rFonts w:ascii="Times New Roman" w:hAnsi="Times New Roman"/>
          <w:b w:val="0"/>
          <w:i w:val="0"/>
          <w:color w:val="000000"/>
          <w:sz w:val="20"/>
        </w:rPr>
        <w:t xml:space="preserve">Daftar prioritas menyajikan identitas anonim mahasiswa, module-presentation, probabilitas </w:t>
      </w:r>
      <w:r>
        <w:rPr>
          <w:rFonts w:ascii="Times New Roman" w:hAnsi="Times New Roman"/>
          <w:b w:val="0"/>
          <w:i/>
          <w:color w:val="000000"/>
          <w:sz w:val="20"/>
        </w:rPr>
        <w:t>AtRisk</w:t>
      </w:r>
      <w:r>
        <w:rPr>
          <w:rFonts w:ascii="Times New Roman" w:hAnsi="Times New Roman"/>
          <w:b w:val="0"/>
          <w:i w:val="0"/>
          <w:color w:val="000000"/>
          <w:sz w:val="20"/>
        </w:rPr>
        <w:t>, level risiko, jumlah sinyal, alasan, dan rekomendasi. Struktur tersebut menghubungkan hasil model dengan tindakan seperti monitoring akses VLE, pendampingan assessment, serta konseling akademik.</w:t>
      </w:r>
    </w:p>
    <w:p>
      <w:pPr>
        <w:spacing w:before="0" w:after="60" w:line="240" w:lineRule="auto"/>
        <w:ind w:firstLine="259"/>
        <w:jc w:val="both"/>
      </w:pPr>
      <w:r>
        <w:rPr>
          <w:rFonts w:ascii="Times New Roman" w:hAnsi="Times New Roman"/>
          <w:b w:val="0"/>
          <w:i w:val="0"/>
          <w:color w:val="000000"/>
          <w:sz w:val="20"/>
        </w:rPr>
        <w:t>Fig. 4 menyatukan KPI, level risiko, prioritas module-presentation, distribusi probabilitas, sinyal dominan, perbandingan perilaku, confusion matrix, dan trade-off model dengan knowledge layer. Tampilan ini menyediakan ringkasan strategis sekaligus dasar penelusuran prioritas operasional.</w:t>
      </w:r>
    </w:p>
    <w:p>
      <w:pPr>
        <w:sectPr>
          <w:type w:val="continuous"/>
          <w:pgSz w:w="12240" w:h="15840"/>
          <w:pgMar w:top="936" w:right="936" w:bottom="936" w:left="936" w:header="432" w:footer="432" w:gutter="0"/>
          <w:cols w:space="360" w:num="2" w:equalWidth="1"/>
          <w:docGrid w:linePitch="360"/>
        </w:sectPr>
      </w:pPr>
    </w:p>
    <w:p>
      <w:pPr>
        <w:keepNext/>
        <w:spacing w:before="80" w:after="20"/>
        <w:jc w:val="center"/>
      </w:pPr>
      <w:r>
        <w:drawing>
          <wp:inline xmlns:a="http://schemas.openxmlformats.org/drawingml/2006/main" xmlns:pic="http://schemas.openxmlformats.org/drawingml/2006/picture">
            <wp:extent cx="5486400" cy="4940761"/>
            <wp:docPr id="4" name="Picture 4" descr="Fig. 4. Dashboard early warning OULAD pada akhir minggu keempat." title="Fig"/>
            <wp:cNvGraphicFramePr>
              <a:graphicFrameLocks noChangeAspect="1"/>
            </wp:cNvGraphicFramePr>
            <a:graphic>
              <a:graphicData uri="http://schemas.openxmlformats.org/drawingml/2006/picture">
                <pic:pic>
                  <pic:nvPicPr>
                    <pic:cNvPr id="0" name="fig-4-dashboard-dvbi.png"/>
                    <pic:cNvPicPr/>
                  </pic:nvPicPr>
                  <pic:blipFill>
                    <a:blip r:embed="rId12"/>
                    <a:stretch>
                      <a:fillRect/>
                    </a:stretch>
                  </pic:blipFill>
                  <pic:spPr>
                    <a:xfrm>
                      <a:off x="0" y="0"/>
                      <a:ext cx="5486400" cy="4940761"/>
                    </a:xfrm>
                    <a:prstGeom prst="rect"/>
                  </pic:spPr>
                </pic:pic>
              </a:graphicData>
            </a:graphic>
          </wp:inline>
        </w:drawing>
      </w:r>
    </w:p>
    <w:p>
      <w:pPr>
        <w:keepLines/>
        <w:spacing w:before="20" w:after="80"/>
        <w:jc w:val="center"/>
      </w:pPr>
      <w:r>
        <w:rPr>
          <w:rFonts w:ascii="Times New Roman" w:hAnsi="Times New Roman"/>
          <w:b w:val="0"/>
          <w:i w:val="0"/>
          <w:color w:val="000000"/>
          <w:sz w:val="16"/>
        </w:rPr>
        <w:t>Fig. 4. Dashboard early warning OULAD pada akhir minggu keempat.</w:t>
      </w:r>
    </w:p>
    <w:p>
      <w:pPr>
        <w:sectPr>
          <w:type w:val="continuous"/>
          <w:pgSz w:w="12240" w:h="15840"/>
          <w:pgMar w:top="936" w:right="936" w:bottom="936" w:left="936" w:header="432" w:footer="432" w:gutter="0"/>
          <w:cols w:space="360" w:num="1" w:equalWidth="1"/>
          <w:docGrid w:linePitch="360"/>
        </w:sectPr>
      </w:pPr>
    </w:p>
    <w:p>
      <w:pPr>
        <w:pStyle w:val="Heading1"/>
        <w:keepNext/>
        <w:spacing w:before="160" w:after="80"/>
        <w:jc w:val="center"/>
      </w:pPr>
      <w:r>
        <w:rPr>
          <w:rFonts w:ascii="Times New Roman" w:hAnsi="Times New Roman"/>
          <w:b w:val="0"/>
          <w:color w:val="000000"/>
          <w:sz w:val="20"/>
        </w:rPr>
        <w:t>V. DISCUSSION</w:t>
      </w:r>
    </w:p>
    <w:p>
      <w:pPr>
        <w:spacing w:before="0" w:after="60" w:line="240" w:lineRule="auto"/>
        <w:ind w:firstLine="259"/>
        <w:jc w:val="both"/>
      </w:pPr>
      <w:r>
        <w:rPr>
          <w:rFonts w:ascii="Times New Roman" w:hAnsi="Times New Roman"/>
          <w:b w:val="0"/>
          <w:i w:val="0"/>
          <w:color w:val="000000"/>
          <w:sz w:val="20"/>
        </w:rPr>
        <w:t xml:space="preserve">Hasil eksperimen menunjukkan bahwa pemilihan model bergantung pada tujuan keputusan. XGBoost menghasilkan accuracy dan ROC-AUC tertinggi, sedangkan Random Forest menghasilkan recall </w:t>
      </w:r>
      <w:r>
        <w:rPr>
          <w:rFonts w:ascii="Times New Roman" w:hAnsi="Times New Roman"/>
          <w:b w:val="0"/>
          <w:i/>
          <w:color w:val="000000"/>
          <w:sz w:val="20"/>
        </w:rPr>
        <w:t>AtRisk</w:t>
      </w:r>
      <w:r>
        <w:rPr>
          <w:rFonts w:ascii="Times New Roman" w:hAnsi="Times New Roman"/>
          <w:b w:val="0"/>
          <w:i w:val="0"/>
          <w:color w:val="000000"/>
          <w:sz w:val="20"/>
        </w:rPr>
        <w:t xml:space="preserve"> tertinggi pada cross-validation dan hold-out test. Penelitian ini memprioritaskan recall karena early warning diarahkan untuk memperluas cakupan mahasiswa berisiko yang dapat diverifikasi oleh stakeholder. F1-score Random Forest dan XGBoost pada hold-out test memiliki nilai sama sebesar 0,7578, sehingga recall menjadi pembeda yang relevan.</w:t>
      </w:r>
    </w:p>
    <w:p>
      <w:pPr>
        <w:spacing w:before="0" w:after="60" w:line="240" w:lineRule="auto"/>
        <w:ind w:firstLine="259"/>
        <w:jc w:val="both"/>
      </w:pPr>
      <w:r>
        <w:rPr>
          <w:rFonts w:ascii="Times New Roman" w:hAnsi="Times New Roman"/>
          <w:b w:val="0"/>
          <w:i w:val="0"/>
          <w:color w:val="000000"/>
          <w:sz w:val="20"/>
        </w:rPr>
        <w:t>Performa sekitar 0,76 lebih rendah dibandingkan eksperimen yang memakai aktivitas seluruh semester dan status unregistration. Nilai tersebut merepresentasikan kondisi yang lebih menantang karena model hanya menerima informasi sampai hari ke-28. Pembatasan temporal menjaga hubungan antara waktu fitur tersedia dan waktu keputusan intervensi. Hasil ini memperlihatkan bahwa evaluasi early warning perlu dibaca berdasarkan horizon prediksi, sehingga perbandingan performa antarpenelitian memerlukan kesetaraan cut-off data.</w:t>
      </w:r>
    </w:p>
    <w:p>
      <w:pPr>
        <w:spacing w:before="0" w:after="60" w:line="240" w:lineRule="auto"/>
        <w:ind w:firstLine="259"/>
        <w:jc w:val="both"/>
      </w:pPr>
      <w:r>
        <w:rPr>
          <w:rFonts w:ascii="Times New Roman" w:hAnsi="Times New Roman"/>
          <w:b w:val="0"/>
          <w:i w:val="0"/>
          <w:color w:val="000000"/>
          <w:sz w:val="20"/>
        </w:rPr>
        <w:t>Threshold assessment sebesar nol memiliki makna operasional khusus. Pada minggu keempat, sejumlah module-presentation belum menghasilkan submission assessment untuk semua mahasiswa. Kondisi belum mengumpulkan assessment menjadi sinyal engagement awal, sedangkan kemampuan membedakan skor rendah di atas nol masih terbatas. Penelitian lanjutan dapat menggunakan threshold per module-presentation atau menyesuaikan cut-off dengan jadwal assessment untuk memperoleh aturan yang lebih kontekstual.</w:t>
      </w:r>
    </w:p>
    <w:p>
      <w:pPr>
        <w:spacing w:before="0" w:after="60" w:line="240" w:lineRule="auto"/>
        <w:ind w:firstLine="259"/>
        <w:jc w:val="both"/>
      </w:pPr>
      <w:r>
        <w:rPr>
          <w:rFonts w:ascii="Times New Roman" w:hAnsi="Times New Roman"/>
          <w:b w:val="0"/>
          <w:i w:val="0"/>
          <w:color w:val="000000"/>
          <w:sz w:val="20"/>
        </w:rPr>
        <w:t xml:space="preserve">Knowledge-based risk layer meningkatkan recall sebesar 0,0677 poin dari 0,7172 menjadi 0,7849. Peningkatan tersebut memperluas cakupan mahasiswa </w:t>
      </w:r>
      <w:r>
        <w:rPr>
          <w:rFonts w:ascii="Times New Roman" w:hAnsi="Times New Roman"/>
          <w:b w:val="0"/>
          <w:i/>
          <w:color w:val="000000"/>
          <w:sz w:val="20"/>
        </w:rPr>
        <w:t>AtRisk</w:t>
      </w:r>
      <w:r>
        <w:rPr>
          <w:rFonts w:ascii="Times New Roman" w:hAnsi="Times New Roman"/>
          <w:b w:val="0"/>
          <w:i w:val="0"/>
          <w:color w:val="000000"/>
          <w:sz w:val="20"/>
        </w:rPr>
        <w:t xml:space="preserve"> yang masuk antrean intervensi. Penurunan precision menjadi 0,7039 menunjukkan bertambahnya kasus yang perlu diverifikasi. Trade-off ini berkaitan langsung dengan kapasitas operasional. Institusi dengan sumber daya konseling terbatas dapat memprioritaskan </w:t>
      </w:r>
      <w:r>
        <w:rPr>
          <w:rFonts w:ascii="Times New Roman" w:hAnsi="Times New Roman"/>
          <w:b w:val="0"/>
          <w:i/>
          <w:color w:val="000000"/>
          <w:sz w:val="20"/>
        </w:rPr>
        <w:t>High Risk</w:t>
      </w:r>
      <w:r>
        <w:rPr>
          <w:rFonts w:ascii="Times New Roman" w:hAnsi="Times New Roman"/>
          <w:b w:val="0"/>
          <w:i w:val="0"/>
          <w:color w:val="000000"/>
          <w:sz w:val="20"/>
        </w:rPr>
        <w:t xml:space="preserve">, sedangkan institusi dengan kapasitas lebih besar dapat memasukkan </w:t>
      </w:r>
      <w:r>
        <w:rPr>
          <w:rFonts w:ascii="Times New Roman" w:hAnsi="Times New Roman"/>
          <w:b w:val="0"/>
          <w:i/>
          <w:color w:val="000000"/>
          <w:sz w:val="20"/>
        </w:rPr>
        <w:t>Medium Risk</w:t>
      </w:r>
      <w:r>
        <w:rPr>
          <w:rFonts w:ascii="Times New Roman" w:hAnsi="Times New Roman"/>
          <w:b w:val="0"/>
          <w:i w:val="0"/>
          <w:color w:val="000000"/>
          <w:sz w:val="20"/>
        </w:rPr>
        <w:t xml:space="preserve"> dalam monitoring berkala.</w:t>
      </w:r>
    </w:p>
    <w:p>
      <w:pPr>
        <w:spacing w:before="0" w:after="60" w:line="240" w:lineRule="auto"/>
        <w:ind w:firstLine="259"/>
        <w:jc w:val="both"/>
      </w:pPr>
      <w:r>
        <w:rPr>
          <w:rFonts w:ascii="Times New Roman" w:hAnsi="Times New Roman"/>
          <w:b w:val="0"/>
          <w:i w:val="0"/>
          <w:color w:val="000000"/>
          <w:sz w:val="20"/>
        </w:rPr>
        <w:t>Knowledge layer juga meningkatkan interpretabilitas praktis. Probabilitas model dilengkapi dengan alasan seperti aktivitas VLE rendah, hari aktif rendah, atau assessment yang belum dikerjakan. Informasi tersebut membantu memilih bentuk intervensi yang sesuai. Hubungan ini bersifat asosiasi prediktif, sehingga rekomendasi tetap memerlukan validasi manusia dan informasi kontekstual dari dosen atau tutor.</w:t>
      </w:r>
    </w:p>
    <w:p>
      <w:pPr>
        <w:spacing w:before="0" w:after="60" w:line="240" w:lineRule="auto"/>
        <w:ind w:firstLine="259"/>
        <w:jc w:val="both"/>
      </w:pPr>
      <w:r>
        <w:rPr>
          <w:rFonts w:ascii="Times New Roman" w:hAnsi="Times New Roman"/>
          <w:b w:val="0"/>
          <w:i w:val="0"/>
          <w:color w:val="000000"/>
          <w:sz w:val="20"/>
        </w:rPr>
        <w:t>Dashboard memperluas fungsi eksperimen dari evaluasi teknis menjadi Business Intelligence. Agregasi per module-presentation membantu program studi mengenali konsentrasi risiko, sedangkan daftar prioritas mendukung tindak lanjut tingkat mahasiswa. Temuan 100% prioritas pada GGG 2014J perlu dibaca bersama ukuran kelompok, jadwal assessment, dan karakteristik modul. Dashboard menyediakan titik awal investigasi dan monitoring, sedangkan keputusan akademik ditetapkan melalui proses institusional.</w:t>
      </w:r>
    </w:p>
    <w:p>
      <w:pPr>
        <w:spacing w:before="0" w:after="60" w:line="240" w:lineRule="auto"/>
        <w:ind w:firstLine="259"/>
        <w:jc w:val="both"/>
      </w:pPr>
      <w:r>
        <w:rPr>
          <w:rFonts w:ascii="Times New Roman" w:hAnsi="Times New Roman"/>
          <w:b w:val="0"/>
          <w:i w:val="0"/>
          <w:color w:val="000000"/>
          <w:sz w:val="20"/>
        </w:rPr>
        <w:t>Penelitian memiliki beberapa keterbatasan. OULAD berasal dari konteks Open University di Inggris sehingga validitas eksternal pada institusi lain memerlukan pengujian ulang. Fitur perilaku dibatasi pada agregasi sampai hari ke-28 dan belum memodelkan urutan temporal harian. Hyperparameter model menggunakan konfigurasi baseline. Threshold berbasis kuartil memerlukan validasi pakar dan dapat berubah mengikuti cohort, module-presentation, atau kebijakan akademik. Evaluasi juga mengukur performa deteksi, sedangkan dampak intervensi terhadap retensi memerlukan desain eksperimen lanjutan.</w:t>
      </w:r>
    </w:p>
    <w:p>
      <w:pPr>
        <w:pStyle w:val="Heading1"/>
        <w:keepNext/>
        <w:spacing w:before="160" w:after="80"/>
        <w:jc w:val="center"/>
      </w:pPr>
      <w:r>
        <w:rPr>
          <w:rFonts w:ascii="Times New Roman" w:hAnsi="Times New Roman"/>
          <w:b w:val="0"/>
          <w:color w:val="000000"/>
          <w:sz w:val="20"/>
        </w:rPr>
        <w:t>VI. CONCLUSION</w:t>
      </w:r>
    </w:p>
    <w:p>
      <w:pPr>
        <w:spacing w:before="0" w:after="60" w:line="240" w:lineRule="auto"/>
        <w:ind w:firstLine="259"/>
        <w:jc w:val="both"/>
      </w:pPr>
      <w:r>
        <w:rPr>
          <w:rFonts w:ascii="Times New Roman" w:hAnsi="Times New Roman"/>
          <w:b w:val="0"/>
          <w:i w:val="0"/>
          <w:color w:val="000000"/>
          <w:sz w:val="20"/>
        </w:rPr>
        <w:t xml:space="preserve">Penelitian ini mengembangkan early warning risiko dropout mahasiswa pada akhir minggu keempat menggunakan OULAD. Dataset dibentuk pada unit student-module-presentation dengan fitur demografis, registrasi awal, assessment, dan aktivitas VLE sampai hari ke-28. Pemisahan berbasis </w:t>
      </w:r>
      <w:r>
        <w:rPr>
          <w:rFonts w:ascii="Times New Roman" w:hAnsi="Times New Roman"/>
          <w:b w:val="0"/>
          <w:i/>
          <w:color w:val="000000"/>
          <w:sz w:val="20"/>
        </w:rPr>
        <w:t>id_student</w:t>
      </w:r>
      <w:r>
        <w:rPr>
          <w:rFonts w:ascii="Times New Roman" w:hAnsi="Times New Roman"/>
          <w:b w:val="0"/>
          <w:i w:val="0"/>
          <w:color w:val="000000"/>
          <w:sz w:val="20"/>
        </w:rPr>
        <w:t xml:space="preserve"> menjaga independensi mahasiswa antara train-validation dan hold-out test.</w:t>
      </w:r>
    </w:p>
    <w:p>
      <w:pPr>
        <w:spacing w:before="0" w:after="60" w:line="240" w:lineRule="auto"/>
        <w:ind w:firstLine="259"/>
        <w:jc w:val="both"/>
      </w:pPr>
      <w:r>
        <w:rPr>
          <w:rFonts w:ascii="Times New Roman" w:hAnsi="Times New Roman"/>
          <w:b w:val="0"/>
          <w:i w:val="0"/>
          <w:color w:val="000000"/>
          <w:sz w:val="20"/>
        </w:rPr>
        <w:t xml:space="preserve">Random Forest dipilih berdasarkan recall </w:t>
      </w:r>
      <w:r>
        <w:rPr>
          <w:rFonts w:ascii="Times New Roman" w:hAnsi="Times New Roman"/>
          <w:b w:val="0"/>
          <w:i/>
          <w:color w:val="000000"/>
          <w:sz w:val="20"/>
        </w:rPr>
        <w:t>AtRisk</w:t>
      </w:r>
      <w:r>
        <w:rPr>
          <w:rFonts w:ascii="Times New Roman" w:hAnsi="Times New Roman"/>
          <w:b w:val="0"/>
          <w:i w:val="0"/>
          <w:color w:val="000000"/>
          <w:sz w:val="20"/>
        </w:rPr>
        <w:t xml:space="preserve"> cross-validation tertinggi sebesar 0,7126. Pada hold-out test, model menghasilkan accuracy 0,7592, precision 0,8032, recall 0,7172, F1-score 0,7578, dan ROC-AUC 0,8396. Knowledge-based risk layer meningkatkan recall menjadi 0,7849 dengan menggabungkan prediksi model dan empat sinyal perilaku awal. Sistem menghasilkan level risiko, alasan, dan rekomendasi yang dapat diterjemahkan menjadi antrean intervensi.</w:t>
      </w:r>
    </w:p>
    <w:p>
      <w:pPr>
        <w:spacing w:before="0" w:after="60" w:line="240" w:lineRule="auto"/>
        <w:ind w:firstLine="259"/>
        <w:jc w:val="both"/>
      </w:pPr>
      <w:r>
        <w:rPr>
          <w:rFonts w:ascii="Times New Roman" w:hAnsi="Times New Roman"/>
          <w:b w:val="0"/>
          <w:i w:val="0"/>
          <w:color w:val="000000"/>
          <w:sz w:val="20"/>
        </w:rPr>
        <w:t>Dashboard Business Intelligence menyajikan distribusi risiko, prioritas module-presentation, sinyal dominan, performa model, dan daftar mahasiswa anonim untuk monitoring. Integrasi supervised learning, knowledge-based risk layer, dan visual analytics menghasilkan decision support yang menghubungkan prediksi dengan proses tindak lanjut akademik.</w:t>
      </w:r>
    </w:p>
    <w:p>
      <w:pPr>
        <w:spacing w:before="0" w:after="60" w:line="240" w:lineRule="auto"/>
        <w:ind w:firstLine="259"/>
        <w:jc w:val="both"/>
      </w:pPr>
      <w:r>
        <w:rPr>
          <w:rFonts w:ascii="Times New Roman" w:hAnsi="Times New Roman"/>
          <w:b w:val="0"/>
          <w:i w:val="0"/>
          <w:color w:val="000000"/>
          <w:sz w:val="20"/>
        </w:rPr>
        <w:t>Pengembangan berikutnya dapat membandingkan horizon minggu keempat, kedelapan, dan kedua belas; menggunakan threshold per module-presentation; melakukan tuning hyperparameter; serta menguji validitas eksternal pada data institusi lain. Evaluasi dampak intervensi juga diperlukan untuk mengukur kontribusi sistem terhadap keberlanjutan studi mahasiswa.</w:t>
      </w:r>
    </w:p>
    <w:p>
      <w:pPr>
        <w:pStyle w:val="Heading1"/>
        <w:keepNext/>
        <w:spacing w:before="160" w:after="80"/>
        <w:jc w:val="center"/>
      </w:pPr>
      <w:r>
        <w:rPr>
          <w:rFonts w:ascii="Times New Roman" w:hAnsi="Times New Roman"/>
          <w:b w:val="0"/>
          <w:color w:val="000000"/>
          <w:sz w:val="20"/>
        </w:rPr>
        <w:t>REFERENCES</w:t>
      </w:r>
    </w:p>
    <w:p>
      <w:pPr>
        <w:spacing w:after="40"/>
        <w:ind w:left="259" w:hanging="259"/>
        <w:jc w:val="both"/>
      </w:pPr>
      <w:r>
        <w:rPr>
          <w:rFonts w:ascii="Times New Roman" w:hAnsi="Times New Roman"/>
          <w:b w:val="0"/>
          <w:i w:val="0"/>
          <w:color w:val="000000"/>
          <w:sz w:val="16"/>
        </w:rPr>
        <w:t xml:space="preserve">[1] S. Matz et al., "Using machine learning to predict student retention from socio-demographic characteristics and app-based engagement metrics," </w:t>
      </w:r>
      <w:r>
        <w:rPr>
          <w:rFonts w:ascii="Times New Roman" w:hAnsi="Times New Roman"/>
          <w:b w:val="0"/>
          <w:i/>
          <w:color w:val="000000"/>
          <w:sz w:val="16"/>
        </w:rPr>
        <w:t>Scientific Reports</w:t>
      </w:r>
      <w:r>
        <w:rPr>
          <w:rFonts w:ascii="Times New Roman" w:hAnsi="Times New Roman"/>
          <w:b w:val="0"/>
          <w:i w:val="0"/>
          <w:color w:val="000000"/>
          <w:sz w:val="16"/>
        </w:rPr>
        <w:t>, 2023, doi: 10.1038/s41598-023-32484-w.</w:t>
      </w:r>
    </w:p>
    <w:p>
      <w:pPr>
        <w:spacing w:after="40"/>
        <w:ind w:left="259" w:hanging="259"/>
        <w:jc w:val="both"/>
      </w:pPr>
      <w:r>
        <w:rPr>
          <w:rFonts w:ascii="Times New Roman" w:hAnsi="Times New Roman"/>
          <w:b w:val="0"/>
          <w:i w:val="0"/>
          <w:color w:val="000000"/>
          <w:sz w:val="16"/>
        </w:rPr>
        <w:t xml:space="preserve">[2] S. Plak et al., "Early warning systems for more effective student counselling in higher education: Evidence from a Dutch field experiment," </w:t>
      </w:r>
      <w:r>
        <w:rPr>
          <w:rFonts w:ascii="Times New Roman" w:hAnsi="Times New Roman"/>
          <w:b w:val="0"/>
          <w:i/>
          <w:color w:val="000000"/>
          <w:sz w:val="16"/>
        </w:rPr>
        <w:t>Higher Education Quarterly</w:t>
      </w:r>
      <w:r>
        <w:rPr>
          <w:rFonts w:ascii="Times New Roman" w:hAnsi="Times New Roman"/>
          <w:b w:val="0"/>
          <w:i w:val="0"/>
          <w:color w:val="000000"/>
          <w:sz w:val="16"/>
        </w:rPr>
        <w:t>, 2022, doi: 10.1111/hequ.12298.</w:t>
      </w:r>
    </w:p>
    <w:p>
      <w:pPr>
        <w:spacing w:after="40"/>
        <w:ind w:left="259" w:hanging="259"/>
        <w:jc w:val="both"/>
      </w:pPr>
      <w:r>
        <w:rPr>
          <w:rFonts w:ascii="Times New Roman" w:hAnsi="Times New Roman"/>
          <w:b w:val="0"/>
          <w:i w:val="0"/>
          <w:color w:val="000000"/>
          <w:sz w:val="16"/>
        </w:rPr>
        <w:t xml:space="preserve">[3] J. Pecuchova and M. Drlik, "Enhancing the Early Student Dropout Prediction Model Through Clustering Analysis of Students' Digital Traces," </w:t>
      </w:r>
      <w:r>
        <w:rPr>
          <w:rFonts w:ascii="Times New Roman" w:hAnsi="Times New Roman"/>
          <w:b w:val="0"/>
          <w:i/>
          <w:color w:val="000000"/>
          <w:sz w:val="16"/>
        </w:rPr>
        <w:t>IEEE Access</w:t>
      </w:r>
      <w:r>
        <w:rPr>
          <w:rFonts w:ascii="Times New Roman" w:hAnsi="Times New Roman"/>
          <w:b w:val="0"/>
          <w:i w:val="0"/>
          <w:color w:val="000000"/>
          <w:sz w:val="16"/>
        </w:rPr>
        <w:t>, 2024, doi: 10.1109/ACCESS.2024.3486762.</w:t>
      </w:r>
    </w:p>
    <w:p>
      <w:pPr>
        <w:spacing w:after="40"/>
        <w:ind w:left="259" w:hanging="259"/>
        <w:jc w:val="both"/>
      </w:pPr>
      <w:r>
        <w:rPr>
          <w:rFonts w:ascii="Times New Roman" w:hAnsi="Times New Roman"/>
          <w:b w:val="0"/>
          <w:i w:val="0"/>
          <w:color w:val="000000"/>
          <w:sz w:val="16"/>
        </w:rPr>
        <w:t xml:space="preserve">[4] J. Kuzilek, M. Hlosta, and Z. Zdrahal, "Open University Learning Analytics dataset," </w:t>
      </w:r>
      <w:r>
        <w:rPr>
          <w:rFonts w:ascii="Times New Roman" w:hAnsi="Times New Roman"/>
          <w:b w:val="0"/>
          <w:i/>
          <w:color w:val="000000"/>
          <w:sz w:val="16"/>
        </w:rPr>
        <w:t>Scientific Data</w:t>
      </w:r>
      <w:r>
        <w:rPr>
          <w:rFonts w:ascii="Times New Roman" w:hAnsi="Times New Roman"/>
          <w:b w:val="0"/>
          <w:i w:val="0"/>
          <w:color w:val="000000"/>
          <w:sz w:val="16"/>
        </w:rPr>
        <w:t>, vol. 4, article no. 170171, 2017, doi: 10.1038/sdata.2017.171.</w:t>
      </w:r>
    </w:p>
    <w:p>
      <w:pPr>
        <w:spacing w:after="40"/>
        <w:ind w:left="259" w:hanging="259"/>
        <w:jc w:val="both"/>
      </w:pPr>
      <w:r>
        <w:rPr>
          <w:rFonts w:ascii="Times New Roman" w:hAnsi="Times New Roman"/>
          <w:b w:val="0"/>
          <w:i w:val="0"/>
          <w:color w:val="000000"/>
          <w:sz w:val="16"/>
        </w:rPr>
        <w:t xml:space="preserve">[5] T. Kustitskaya et al., "Hybrid Approach to Predicting Learning Success Based on Digital Educational History for Timely Identification of At-Risk Students," </w:t>
      </w:r>
      <w:r>
        <w:rPr>
          <w:rFonts w:ascii="Times New Roman" w:hAnsi="Times New Roman"/>
          <w:b w:val="0"/>
          <w:i/>
          <w:color w:val="000000"/>
          <w:sz w:val="16"/>
        </w:rPr>
        <w:t>Education Sciences</w:t>
      </w:r>
      <w:r>
        <w:rPr>
          <w:rFonts w:ascii="Times New Roman" w:hAnsi="Times New Roman"/>
          <w:b w:val="0"/>
          <w:i w:val="0"/>
          <w:color w:val="000000"/>
          <w:sz w:val="16"/>
        </w:rPr>
        <w:t>, 2024, doi: 10.3390/educsci14060657.</w:t>
      </w:r>
    </w:p>
    <w:p>
      <w:pPr>
        <w:spacing w:after="40"/>
        <w:ind w:left="259" w:hanging="259"/>
        <w:jc w:val="both"/>
      </w:pPr>
      <w:r>
        <w:rPr>
          <w:rFonts w:ascii="Times New Roman" w:hAnsi="Times New Roman"/>
          <w:b w:val="0"/>
          <w:i w:val="0"/>
          <w:color w:val="000000"/>
          <w:sz w:val="16"/>
        </w:rPr>
        <w:t xml:space="preserve">[6] M. Carballo-Mendivil et al., "Predicting Student Dropout from Day One: XGBoost-Based Early Warning System Using Pre-Enrollment Data," </w:t>
      </w:r>
      <w:r>
        <w:rPr>
          <w:rFonts w:ascii="Times New Roman" w:hAnsi="Times New Roman"/>
          <w:b w:val="0"/>
          <w:i/>
          <w:color w:val="000000"/>
          <w:sz w:val="16"/>
        </w:rPr>
        <w:t>Applied Sciences</w:t>
      </w:r>
      <w:r>
        <w:rPr>
          <w:rFonts w:ascii="Times New Roman" w:hAnsi="Times New Roman"/>
          <w:b w:val="0"/>
          <w:i w:val="0"/>
          <w:color w:val="000000"/>
          <w:sz w:val="16"/>
        </w:rPr>
        <w:t>, 2025, doi: 10.3390/app15169202.</w:t>
      </w:r>
    </w:p>
    <w:p>
      <w:pPr>
        <w:spacing w:after="40"/>
        <w:ind w:left="259" w:hanging="259"/>
        <w:jc w:val="both"/>
      </w:pPr>
      <w:r>
        <w:rPr>
          <w:rFonts w:ascii="Times New Roman" w:hAnsi="Times New Roman"/>
          <w:b w:val="0"/>
          <w:i w:val="0"/>
          <w:color w:val="000000"/>
          <w:sz w:val="16"/>
        </w:rPr>
        <w:t xml:space="preserve">[7] A. Garmpis et al., "Assisting Educational Analytics with AutoML Functionalities," </w:t>
      </w:r>
      <w:r>
        <w:rPr>
          <w:rFonts w:ascii="Times New Roman" w:hAnsi="Times New Roman"/>
          <w:b w:val="0"/>
          <w:i/>
          <w:color w:val="000000"/>
          <w:sz w:val="16"/>
        </w:rPr>
        <w:t>Computers</w:t>
      </w:r>
      <w:r>
        <w:rPr>
          <w:rFonts w:ascii="Times New Roman" w:hAnsi="Times New Roman"/>
          <w:b w:val="0"/>
          <w:i w:val="0"/>
          <w:color w:val="000000"/>
          <w:sz w:val="16"/>
        </w:rPr>
        <w:t>, 2022, doi: 10.3390/computers11060097.</w:t>
      </w:r>
    </w:p>
    <w:p>
      <w:pPr>
        <w:spacing w:after="40"/>
        <w:ind w:left="259" w:hanging="259"/>
        <w:jc w:val="both"/>
      </w:pPr>
      <w:r>
        <w:rPr>
          <w:rFonts w:ascii="Times New Roman" w:hAnsi="Times New Roman"/>
          <w:b w:val="0"/>
          <w:i w:val="0"/>
          <w:color w:val="000000"/>
          <w:sz w:val="16"/>
        </w:rPr>
        <w:t xml:space="preserve">[8] C. Y. Tsai et al., "Precision education with statistical learning and deep learning: a case study in Taiwan," </w:t>
      </w:r>
      <w:r>
        <w:rPr>
          <w:rFonts w:ascii="Times New Roman" w:hAnsi="Times New Roman"/>
          <w:b w:val="0"/>
          <w:i/>
          <w:color w:val="000000"/>
          <w:sz w:val="16"/>
        </w:rPr>
        <w:t>International Journal of Educational Technology in Higher Education</w:t>
      </w:r>
      <w:r>
        <w:rPr>
          <w:rFonts w:ascii="Times New Roman" w:hAnsi="Times New Roman"/>
          <w:b w:val="0"/>
          <w:i w:val="0"/>
          <w:color w:val="000000"/>
          <w:sz w:val="16"/>
        </w:rPr>
        <w:t>, 2020, doi: 10.1186/s41239-020-00186-2.</w:t>
      </w:r>
    </w:p>
    <w:p>
      <w:pPr>
        <w:spacing w:after="40"/>
        <w:ind w:left="259" w:hanging="259"/>
        <w:jc w:val="both"/>
      </w:pPr>
      <w:r>
        <w:rPr>
          <w:rFonts w:ascii="Times New Roman" w:hAnsi="Times New Roman"/>
          <w:b w:val="0"/>
          <w:i w:val="0"/>
          <w:color w:val="000000"/>
          <w:sz w:val="16"/>
        </w:rPr>
        <w:t xml:space="preserve">[9] M. V. Martins et al., "Multi-Class Phased Prediction of Academic Performance and Dropout in Higher Education," </w:t>
      </w:r>
      <w:r>
        <w:rPr>
          <w:rFonts w:ascii="Times New Roman" w:hAnsi="Times New Roman"/>
          <w:b w:val="0"/>
          <w:i/>
          <w:color w:val="000000"/>
          <w:sz w:val="16"/>
        </w:rPr>
        <w:t>Applied Sciences</w:t>
      </w:r>
      <w:r>
        <w:rPr>
          <w:rFonts w:ascii="Times New Roman" w:hAnsi="Times New Roman"/>
          <w:b w:val="0"/>
          <w:i w:val="0"/>
          <w:color w:val="000000"/>
          <w:sz w:val="16"/>
        </w:rPr>
        <w:t>, 2023, doi: 10.3390/app13084702.</w:t>
      </w:r>
    </w:p>
    <w:p>
      <w:pPr>
        <w:spacing w:after="40"/>
        <w:ind w:left="259" w:hanging="259"/>
        <w:jc w:val="both"/>
      </w:pPr>
      <w:r>
        <w:rPr>
          <w:rFonts w:ascii="Times New Roman" w:hAnsi="Times New Roman"/>
          <w:b w:val="0"/>
          <w:i w:val="0"/>
          <w:color w:val="000000"/>
          <w:sz w:val="16"/>
        </w:rPr>
        <w:t xml:space="preserve">[10] J. R. Rico-Juan et al., "Study regarding the influence of a student's personality and an LMS usage profile on learning performance using machine learning techniques," </w:t>
      </w:r>
      <w:r>
        <w:rPr>
          <w:rFonts w:ascii="Times New Roman" w:hAnsi="Times New Roman"/>
          <w:b w:val="0"/>
          <w:i/>
          <w:color w:val="000000"/>
          <w:sz w:val="16"/>
        </w:rPr>
        <w:t>Applied Intelligence</w:t>
      </w:r>
      <w:r>
        <w:rPr>
          <w:rFonts w:ascii="Times New Roman" w:hAnsi="Times New Roman"/>
          <w:b w:val="0"/>
          <w:i w:val="0"/>
          <w:color w:val="000000"/>
          <w:sz w:val="16"/>
        </w:rPr>
        <w:t>, 2024, doi: 10.1007/s10489-024-05483-1.</w:t>
      </w:r>
    </w:p>
    <w:p>
      <w:pPr>
        <w:spacing w:after="40"/>
        <w:ind w:left="259" w:hanging="259"/>
        <w:jc w:val="both"/>
      </w:pPr>
      <w:r>
        <w:rPr>
          <w:rFonts w:ascii="Times New Roman" w:hAnsi="Times New Roman"/>
          <w:b w:val="0"/>
          <w:i w:val="0"/>
          <w:color w:val="000000"/>
          <w:sz w:val="16"/>
        </w:rPr>
        <w:t xml:space="preserve">[11] J. Berens et al., "Crossing individual university boundaries: a comprehensive approach to predicting dropouts in the higher education system," </w:t>
      </w:r>
      <w:r>
        <w:rPr>
          <w:rFonts w:ascii="Times New Roman" w:hAnsi="Times New Roman"/>
          <w:b w:val="0"/>
          <w:i/>
          <w:color w:val="000000"/>
          <w:sz w:val="16"/>
        </w:rPr>
        <w:t>Higher Education</w:t>
      </w:r>
      <w:r>
        <w:rPr>
          <w:rFonts w:ascii="Times New Roman" w:hAnsi="Times New Roman"/>
          <w:b w:val="0"/>
          <w:i w:val="0"/>
          <w:color w:val="000000"/>
          <w:sz w:val="16"/>
        </w:rPr>
        <w:t>, 2025, doi: 10.1007/s10734-025-01509-w.</w:t>
      </w:r>
    </w:p>
    <w:sectPr w:rsidR="00FC693F" w:rsidRPr="0006063C" w:rsidSect="00034616">
      <w:type w:val="continuous"/>
      <w:pgSz w:w="12240" w:h="15840"/>
      <w:pgMar w:top="936" w:right="936" w:bottom="936" w:left="936" w:header="432" w:footer="432"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Warning Risiko Dropout Mahasiswa pada Minggu Keempat Menggunakan Supervised Learning dan Knowledge-Based Risk Layer pada Open University Learning Analytics Dataset</dc:title>
  <dc:subject>Early warning student dropout using OULAD</dc:subject>
  <dc:creator>Muhammad Rizky Hajar, Alwie Muflich, Heri Santosa</dc:creator>
  <cp:keywords>student dropout, OULAD, early warning, knowledge-based system, business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