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0"/>
        </w:rPr>
        <w:t>Early Warning Risiko Dropout Mahasiswa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936" w:right="936" w:bottom="936" w:left="936"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Dropout mahasiswa memengaruhi keberlanjutan studi, efektivitas layanan akademik, dan pengambilan keputusan institusional. Penelitian ini mengembangkan sistem peringatan dini risiko dropout mahasiswa pada akhir minggu keempat menggunakan Open University Learning Analytics Dataset (OULAD).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pengujian hold-out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0,7126. Pada data uji hold-out, model tersebut menghasilkan accuracy 0,7592, precision 0,8032, recall 0,7172, F1-score 0,7578, dan ROC-AUC 0,8396. Lapisan risiko berbasis aturan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0,7849 dengan precision 0,7039. Hasil analitik disajikan melalui dashboard statis yang memuat indikator risiko, prioritas module-presentation, sinyal dominan, dan daftar mahasiswa untuk mendukung monitoring akademik. Pendekatan ini menghubungkan prediksi, interpretasi berbasis aturan, dan visualisasi pendukung keputusan untuk intervensi dini.</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student dropout, supervised learning, OULAD, early warning system, knowledge-based system, business intelligence</w:t>
      </w:r>
    </w:p>
    <w:p>
      <w:pPr>
        <w:pStyle w:val="Heading1"/>
        <w:keepNext/>
        <w:spacing w:before="160" w:after="80"/>
        <w:jc w:val="center"/>
      </w:pPr>
      <w:r>
        <w:rPr>
          <w:rFonts w:ascii="Times New Roman" w:hAnsi="Times New Roman"/>
          <w:b w:val="0"/>
          <w:color w:val="000000"/>
          <w:sz w:val="20"/>
        </w:rPr>
        <w:t>I. INTRODUCTION</w:t>
      </w:r>
    </w:p>
    <w:p>
      <w:pPr>
        <w:spacing w:before="0" w:after="60" w:line="240" w:lineRule="auto"/>
        <w:ind w:firstLine="259"/>
        <w:jc w:val="both"/>
      </w:pPr>
      <w:r>
        <w:rPr>
          <w:rFonts w:ascii="Times New Roman" w:hAnsi="Times New Roman"/>
          <w:b w:val="0"/>
          <w:i w:val="0"/>
          <w:color w:val="000000"/>
          <w:sz w:val="20"/>
        </w:rPr>
        <w:t>Dropout mahasiswa menjadi isu penting dalam pendidikan tinggi karena berkaitan dengan keberlanjutan studi, kualitas layanan akademik, dan efektivitas pengambilan keputusan institusional. Penelitian sebelumnya menunjukkan bahwa machine learning dapat memprediksi retensi mahasiswa menggunakan karakteristik sosiodemografis dan metrik engagement [1]. Sistem peringatan dini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6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memahami engagement mahasiswa. Data tersebut mencakup interaksi dengan Virtual Learning Environment (VLE), partisipasi assessment, performa penilaian, dan informasi registrasi awal. Studi mengenai jejak digital memperlihatkan bahwa pola aktivitas Learning Management System dapat membantu menjelaskan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6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sistem peringatan dini memerlukan fitur yang telah tersedia pada waktu prediksi. Penelitian ini menggunakan batas hari ke-28 untuk merepresentasikan akhir minggu keempat. Assessment dan aktivitas VLE setelah batas tersebut dikeluarkan dari fitur, sedangkan status unregistration diperlakukan sebagai informasi masa depan. Pembatasan temporal tersebut menghasilkan estimasi performa yang lebih dekat dengan kondisi intervensi dini.</w:t>
      </w:r>
    </w:p>
    <w:p>
      <w:pPr>
        <w:spacing w:before="0" w:after="6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digunakan dalam kerja operasional. Kebutuhan tersebut membentuk celah penelitian pada integrasi antara evaluasi model, interpretasi berbasis aturan, dan penyajian visual untuk mendukung keputusan.</w:t>
      </w:r>
    </w:p>
    <w:p>
      <w:pPr>
        <w:spacing w:before="0" w:after="60" w:line="240" w:lineRule="auto"/>
        <w:ind w:firstLine="259"/>
        <w:jc w:val="both"/>
      </w:pPr>
      <w:r>
        <w:rPr>
          <w:rFonts w:ascii="Times New Roman" w:hAnsi="Times New Roman"/>
          <w:b w:val="0"/>
          <w:i w:val="0"/>
          <w:color w:val="000000"/>
          <w:sz w:val="20"/>
        </w:rPr>
        <w:t>Penelitian ini bertujuan mengembangkan klasifikasi biner risiko dropout mahasiswa pada minggu keempat, mengevaluasi tiga algoritma supervised learning, dan mengintegrasikan model terpilih dengan lapisan risiko berbasis aturan. Hasil sistem disajikan dalam dashboard Business Intelligence untuk monitoring risiko dan prioritas intervensi akademik.</w:t>
      </w:r>
    </w:p>
    <w:p>
      <w:pPr>
        <w:spacing w:before="0" w:after="60" w:line="240" w:lineRule="auto"/>
        <w:ind w:firstLine="259"/>
        <w:jc w:val="both"/>
      </w:pPr>
      <w:r>
        <w:rPr>
          <w:rFonts w:ascii="Times New Roman" w:hAnsi="Times New Roman"/>
          <w:b w:val="0"/>
          <w:i w:val="0"/>
          <w:color w:val="000000"/>
          <w:sz w:val="20"/>
        </w:rPr>
        <w:t xml:space="preserve">Kontribusi penelitian terdiri atas empat bagian. Pertama, penelitian membentuk dataset peringatan dini pada unit student-module-presentation dengan batas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lapisan risiko berbasis aturan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60" w:after="80"/>
        <w:jc w:val="center"/>
      </w:pPr>
      <w:r>
        <w:rPr>
          <w:rFonts w:ascii="Times New Roman" w:hAnsi="Times New Roman"/>
          <w:b w:val="0"/>
          <w:color w:val="000000"/>
          <w:sz w:val="20"/>
        </w:rPr>
        <w:t>II. RELATED WORKS</w:t>
      </w:r>
    </w:p>
    <w:p>
      <w:pPr>
        <w:spacing w:before="0" w:after="60" w:line="240" w:lineRule="auto"/>
        <w:ind w:firstLine="259"/>
        <w:jc w:val="both"/>
      </w:pPr>
      <w:r>
        <w:rPr>
          <w:rFonts w:ascii="Times New Roman" w:hAnsi="Times New Roman"/>
          <w:b w:val="0"/>
          <w:i w:val="0"/>
          <w:color w:val="000000"/>
          <w:sz w:val="20"/>
        </w:rPr>
        <w:t>Penelitian student dropout analytics memanfaatkan data akademik, sosiodemografis, dan aktivitas digital untuk memprediksi keberlanjutan studi. Informasi awal seperti karakteristik sosiodemografis, riwayat akademik, dan engagement digital memiliki nilai prediktif terhadap retensi mahasiswa [1]. Pendekatan hybrid berbasis digital educational history juga menunjukkan manfaat integrasi beberapa sumber data untuk identifikasi mahasiswa berisiko secara dini [5]. Kedua arah penelitian tersebut menempatkan risiko dropout sebagai hasil interaksi faktor akademik, perilaku belajar, dan konteks mahasiswa.</w:t>
      </w:r>
    </w:p>
    <w:p>
      <w:pPr>
        <w:spacing w:before="0" w:after="60" w:line="240" w:lineRule="auto"/>
        <w:ind w:firstLine="259"/>
        <w:jc w:val="both"/>
      </w:pPr>
      <w:r>
        <w:rPr>
          <w:rFonts w:ascii="Times New Roman" w:hAnsi="Times New Roman"/>
          <w:b w:val="0"/>
          <w:i w:val="0"/>
          <w:color w:val="000000"/>
          <w:sz w:val="20"/>
        </w:rPr>
        <w:t>Sistem peringatan dini mengarahkan hasil prediksi pada proses intervensi. Plak et al. menunjukkan bahwa informasi risiko perlu disertai rancangan tindak lanjut agar dapat memengaruhi hasil akademik [2]. Temuan tersebut menegaskan peran proses bisnis, kapasitas intervensi, dan komunikasi informasi kepada konselor atau pengelola akademik. Model dengan recall tinggi memberi cakupan deteksi yang luas, sedangkan precision menentukan proporsi alarm yang relevan untuk ditindaklanjuti.</w:t>
      </w:r>
    </w:p>
    <w:p>
      <w:pPr>
        <w:spacing w:before="0" w:after="60" w:line="240" w:lineRule="auto"/>
        <w:ind w:firstLine="259"/>
        <w:jc w:val="both"/>
      </w:pPr>
      <w:r>
        <w:rPr>
          <w:rFonts w:ascii="Times New Roman" w:hAnsi="Times New Roman"/>
          <w:b w:val="0"/>
          <w:i w:val="0"/>
          <w:color w:val="000000"/>
          <w:sz w:val="20"/>
        </w:rPr>
        <w:t>Aktivitas Learning Management System atau VLE banyak digunakan sebagai sumber fitur karena merepresentasikan pola engagement mahasiswa. Data klik, frekuensi aktivitas, hari aktif, jenis materi, dan pola interaksi dapat mendukung analisis performa akademik [3]. XGBoost telah digunakan untuk peringatan dini berbasis data pra-enrollment [6], AutoML mendukung eksplorasi educational analytics [7], dan statistical learning serta deep learning digunakan pada precision education [8]. Random Forest juga sesuai untuk data tabular yang memuat kombinasi fitur akademik dan sosiodemografis [9].</w:t>
      </w:r>
    </w:p>
    <w:p>
      <w:pPr>
        <w:spacing w:before="0" w:after="60" w:line="240" w:lineRule="auto"/>
        <w:ind w:firstLine="259"/>
        <w:jc w:val="both"/>
      </w:pPr>
      <w:r>
        <w:rPr>
          <w:rFonts w:ascii="Times New Roman" w:hAnsi="Times New Roman"/>
          <w:b w:val="0"/>
          <w:i w:val="0"/>
          <w:color w:val="000000"/>
          <w:sz w:val="20"/>
        </w:rPr>
        <w:t>Penelitian lain menunjukkan hubungan antara personality, engagement, pola penggunaan LMS, dan performa belajar [10]. Analisis lintas institusi memperluas cakupan prediksi dropout pada level sistem pendidikan tinggi [11]. Keragaman pendekatan tersebut menunjukkan bahwa pemilihan fitur, horizon waktu, dan konteks institusi menentukan interpretasi performa model.</w:t>
      </w:r>
    </w:p>
    <w:p>
      <w:pPr>
        <w:spacing w:before="0" w:after="6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lapisan risiko berbasis aturan menerjemahkan probabilitas dan sinyal perilaku menjadi alasan serta level prioritas, dan dashboard menyajikan hasil sebagai dasar pendukung keputusan. Batas minggu keempat menjaga kesesuaian temporal antara fitur dan waktu intervensi. Integrasi tersebut menghubungkan evaluasi teknis dengan kebutuhan monitoring akademik yang dapat ditindaklanjuti.</w:t>
      </w:r>
    </w:p>
    <w:p>
      <w:pPr>
        <w:pStyle w:val="Heading1"/>
        <w:keepNext/>
        <w:spacing w:before="160" w:after="80"/>
        <w:jc w:val="center"/>
      </w:pPr>
      <w:r>
        <w:rPr>
          <w:rFonts w:ascii="Times New Roman" w:hAnsi="Times New Roman"/>
          <w:b w:val="0"/>
          <w:color w:val="000000"/>
          <w:sz w:val="20"/>
        </w:rPr>
        <w:t>III. METHODOLOGY</w:t>
      </w:r>
    </w:p>
    <w:p>
      <w:pPr>
        <w:pStyle w:val="Heading2"/>
        <w:keepNext/>
        <w:spacing w:before="100" w:after="40"/>
        <w:jc w:val="left"/>
      </w:pPr>
      <w:r>
        <w:rPr>
          <w:rFonts w:ascii="Times New Roman" w:hAnsi="Times New Roman"/>
          <w:i/>
          <w:color w:val="000000"/>
          <w:sz w:val="20"/>
        </w:rPr>
        <w:t>A. Research Design</w:t>
      </w:r>
    </w:p>
    <w:p>
      <w:pPr>
        <w:spacing w:before="0" w:after="60" w:line="240" w:lineRule="auto"/>
        <w:ind w:firstLine="259"/>
        <w:jc w:val="both"/>
      </w:pPr>
      <w:r>
        <w:rPr>
          <w:rFonts w:ascii="Times New Roman" w:hAnsi="Times New Roman"/>
          <w:b w:val="0"/>
          <w:i w:val="0"/>
          <w:color w:val="000000"/>
          <w:sz w:val="20"/>
        </w:rPr>
        <w:t xml:space="preserve">Penelitian menggunakan desain supervised binary classification untuk mendeteksi risiko dropout pada akhir minggu keempat. Alur penelitian meliputi pengambilan dan audit OULAD, pembentukan fitur dengan batas temporal, exploratory data analysis, pemisahan data berbasis mahasiswa, pelatihan dan evaluasi model, pembentukan lapisan risiko berbasis aturan, serta penyajian indikator melalui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 xml:space="preserve"> untuk mendukung reproduktibilitas.</w:t>
      </w:r>
    </w:p>
    <w:p>
      <w:pPr>
        <w:pStyle w:val="Heading2"/>
        <w:keepNext/>
        <w:spacing w:before="100" w:after="40"/>
        <w:jc w:val="left"/>
      </w:pPr>
      <w:r>
        <w:rPr>
          <w:rFonts w:ascii="Times New Roman" w:hAnsi="Times New Roman"/>
          <w:i/>
          <w:color w:val="000000"/>
          <w:sz w:val="20"/>
        </w:rPr>
        <w:t>B. Dataset and Unit of Analysis</w:t>
      </w:r>
    </w:p>
    <w:p>
      <w:pPr>
        <w:spacing w:before="0" w:after="60" w:line="240" w:lineRule="auto"/>
        <w:ind w:firstLine="259"/>
        <w:jc w:val="both"/>
      </w:pPr>
      <w:r>
        <w:rPr>
          <w:rFonts w:ascii="Times New Roman" w:hAnsi="Times New Roman"/>
          <w:b w:val="0"/>
          <w:i w:val="0"/>
          <w:color w:val="000000"/>
          <w:sz w:val="20"/>
        </w:rPr>
        <w:t xml:space="preserve">Dataset yang digunakan adalah Open University Learning Analytics Dataset (OULAD) [4]. Arsip data diperoleh melalui UCI Machine Learning Repository dan berisi tabel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Tabel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sedangkan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60" w:line="240" w:lineRule="auto"/>
        <w:ind w:firstLine="259"/>
        <w:jc w:val="both"/>
      </w:pPr>
      <w:r>
        <w:rPr>
          <w:rFonts w:ascii="Times New Roman" w:hAnsi="Times New Roman"/>
          <w:b w:val="0"/>
          <w:i w:val="0"/>
          <w:color w:val="000000"/>
          <w:sz w:val="20"/>
        </w:rPr>
        <w:t xml:space="preserve">Unit analisis adalah satu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Satu baris data hasil olahan merepresentasikan satu student-module-presentation. Struktur ini mengikuti unit label pada </w:t>
      </w:r>
      <w:r>
        <w:rPr>
          <w:rFonts w:ascii="Times New Roman" w:hAnsi="Times New Roman"/>
          <w:b w:val="0"/>
          <w:i/>
          <w:color w:val="000000"/>
          <w:sz w:val="20"/>
        </w:rPr>
        <w:t>studentInfo</w:t>
      </w:r>
      <w:r>
        <w:rPr>
          <w:rFonts w:ascii="Times New Roman" w:hAnsi="Times New Roman"/>
          <w:b w:val="0"/>
          <w:i w:val="0"/>
          <w:color w:val="000000"/>
          <w:sz w:val="20"/>
        </w:rPr>
        <w:t xml:space="preserve"> dan menjaga konsistensi penggabungan data registrasi, assessment, serta aktivitas VLE.</w:t>
      </w:r>
    </w:p>
    <w:p>
      <w:pPr>
        <w:pStyle w:val="Heading2"/>
        <w:keepNext/>
        <w:spacing w:before="100" w:after="40"/>
        <w:jc w:val="left"/>
      </w:pPr>
      <w:r>
        <w:rPr>
          <w:rFonts w:ascii="Times New Roman" w:hAnsi="Times New Roman"/>
          <w:i/>
          <w:color w:val="000000"/>
          <w:sz w:val="20"/>
        </w:rPr>
        <w:t>C. Target Label and Temporal Boundary</w:t>
      </w:r>
    </w:p>
    <w:p>
      <w:pPr>
        <w:spacing w:before="0" w:after="60" w:line="240" w:lineRule="auto"/>
        <w:ind w:firstLine="259"/>
        <w:jc w:val="both"/>
      </w:pPr>
      <w:r>
        <w:rPr>
          <w:rFonts w:ascii="Times New Roman" w:hAnsi="Times New Roman"/>
          <w:b w:val="0"/>
          <w:i w:val="0"/>
          <w:color w:val="000000"/>
          <w:sz w:val="20"/>
        </w:rPr>
        <w:t xml:space="preserve">Target dirumuskan sebagai klasifikasi biner.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Horizon peringatan dini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100" w:after="40"/>
        <w:jc w:val="left"/>
      </w:pPr>
      <w:r>
        <w:rPr>
          <w:rFonts w:ascii="Times New Roman" w:hAnsi="Times New Roman"/>
          <w:i/>
          <w:color w:val="000000"/>
          <w:sz w:val="20"/>
        </w:rPr>
        <w:t>D. Feature Construction</w:t>
      </w:r>
    </w:p>
    <w:p>
      <w:pPr>
        <w:spacing w:before="0" w:after="6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nilai yang tidak dapat dikonversi diperlakukan sebagai data hilang. Agregat perilaku yang belum memiliki aktivitas diisi dengan nol. Dalam alur pemodelan, data hilang pada fitur numerik diimputasi menggunakan median dan kemudian distandardisasi. Data hilang pada fitur kategorikal diimputasi menggunakan modus dan ditransformasikan dengan one-hot encoding. Seluruh transformasi dipelajari hanya dari data pelatihan.</w:t>
      </w:r>
    </w:p>
    <w:p>
      <w:pPr>
        <w:pStyle w:val="Heading2"/>
        <w:keepNext/>
        <w:spacing w:before="100" w:after="40"/>
        <w:jc w:val="left"/>
      </w:pPr>
      <w:r>
        <w:rPr>
          <w:rFonts w:ascii="Times New Roman" w:hAnsi="Times New Roman"/>
          <w:i/>
          <w:color w:val="000000"/>
          <w:sz w:val="20"/>
        </w:rPr>
        <w:t>E. Data Splitting and Validation</w:t>
      </w:r>
    </w:p>
    <w:p>
      <w:pPr>
        <w:spacing w:before="0" w:after="60" w:line="240" w:lineRule="auto"/>
        <w:ind w:firstLine="259"/>
        <w:jc w:val="both"/>
      </w:pPr>
      <w:r>
        <w:rPr>
          <w:rFonts w:ascii="Times New Roman" w:hAnsi="Times New Roman"/>
          <w:b w:val="0"/>
          <w:i w:val="0"/>
          <w:color w:val="000000"/>
          <w:sz w:val="20"/>
        </w:rPr>
        <w:t xml:space="preserve">Data dibagi menjadi 80% data latih-validasi dan 20% data uji hold-out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Data latih-validasi terdiri atas 26.122 baris dan data uji terdiri atas 6.471 baris. Pemeriksaan menunjukkan tidak ada mahasiswa yang muncul di kedua bagian.</w:t>
      </w:r>
    </w:p>
    <w:p>
      <w:pPr>
        <w:spacing w:before="0" w:after="6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data latih-validasi.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penentu ketika nilai recall berdekatan. Setelah model terpilih, performa akhir dilaporkan pada data uji hold-out.</w:t>
      </w:r>
    </w:p>
    <w:p>
      <w:pPr>
        <w:pStyle w:val="Heading2"/>
        <w:keepNext/>
        <w:spacing w:before="100" w:after="40"/>
        <w:jc w:val="left"/>
      </w:pPr>
      <w:r>
        <w:rPr>
          <w:rFonts w:ascii="Times New Roman" w:hAnsi="Times New Roman"/>
          <w:i/>
          <w:color w:val="000000"/>
          <w:sz w:val="20"/>
        </w:rPr>
        <w:t>F. Supervised Learning Models</w:t>
      </w:r>
    </w:p>
    <w:p>
      <w:pPr>
        <w:spacing w:before="0" w:after="60" w:line="240" w:lineRule="auto"/>
        <w:ind w:firstLine="259"/>
        <w:jc w:val="both"/>
      </w:pPr>
      <w:r>
        <w:rPr>
          <w:rFonts w:ascii="Times New Roman" w:hAnsi="Times New Roman"/>
          <w:b w:val="0"/>
          <w:i w:val="0"/>
          <w:color w:val="000000"/>
          <w:sz w:val="20"/>
        </w:rPr>
        <w:t xml:space="preserve">Tiga algoritma dibandingkan. Logistic Regression digunakan sebagai pembanding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pada data latih-validasi.</w:t>
      </w:r>
    </w:p>
    <w:p>
      <w:pPr>
        <w:spacing w:before="0" w:after="6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ringkasan klasifikasi.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sistem peringatan dini memprioritaskan cakupan mahasiswa berisiko yang dapat diarahkan pada proses verifikasi dan intervensi.</w:t>
      </w:r>
    </w:p>
    <w:p>
      <w:pPr>
        <w:pStyle w:val="Heading2"/>
        <w:keepNext/>
        <w:spacing w:before="100" w:after="40"/>
        <w:jc w:val="left"/>
      </w:pPr>
      <w:r>
        <w:rPr>
          <w:rFonts w:ascii="Times New Roman" w:hAnsi="Times New Roman"/>
          <w:i/>
          <w:color w:val="000000"/>
          <w:sz w:val="20"/>
        </w:rPr>
        <w:t>G. Rule-Based Risk Layer</w:t>
      </w:r>
    </w:p>
    <w:p>
      <w:pPr>
        <w:spacing w:before="0" w:after="60" w:line="240" w:lineRule="auto"/>
        <w:ind w:firstLine="259"/>
        <w:jc w:val="both"/>
      </w:pPr>
      <w:r>
        <w:rPr>
          <w:rFonts w:ascii="Times New Roman" w:hAnsi="Times New Roman"/>
          <w:b w:val="0"/>
          <w:i w:val="0"/>
          <w:color w:val="000000"/>
          <w:sz w:val="20"/>
        </w:rPr>
        <w:t xml:space="preserve">Lapisan risiko berbasis aturan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Ambang batas dihitung dari kuartil bawah data latih-validasi. Prosedur ini menjaga ambang batas tetap independen dari data uji hold-out. Hasil perhitungan menghasilkan ambang batas skor assessment 0, jumlah assessment 0, total klik VLE 47, dan hari aktif VLE 4.</w:t>
      </w:r>
    </w:p>
    <w:p>
      <w:pPr>
        <w:spacing w:before="0" w:after="60" w:line="240" w:lineRule="auto"/>
        <w:ind w:firstLine="259"/>
        <w:jc w:val="both"/>
      </w:pPr>
      <w:r>
        <w:rPr>
          <w:rFonts w:ascii="Times New Roman" w:hAnsi="Times New Roman"/>
          <w:b w:val="0"/>
          <w:i w:val="0"/>
          <w:color w:val="000000"/>
          <w:sz w:val="20"/>
        </w:rPr>
        <w:t xml:space="preserve">Sinyal risiko muncul ketika nilai indikator sama dengan atau lebih rendah dari ambang batas.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6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6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Perbandingan dengan model terpilih digunakan untuk mengukur perubahan cakupan deteksi, precision, dan kebutuhan verifikasi.</w:t>
      </w:r>
    </w:p>
    <w:p>
      <w:pPr>
        <w:pStyle w:val="Heading2"/>
        <w:keepNext/>
        <w:spacing w:before="100" w:after="40"/>
        <w:jc w:val="left"/>
      </w:pPr>
      <w:r>
        <w:rPr>
          <w:rFonts w:ascii="Times New Roman" w:hAnsi="Times New Roman"/>
          <w:i/>
          <w:color w:val="000000"/>
          <w:sz w:val="20"/>
        </w:rPr>
        <w:t>H. Visual Analytics and Business Intelligence</w:t>
      </w:r>
    </w:p>
    <w:p>
      <w:pPr>
        <w:spacing w:before="0" w:after="6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lapisan risiko berbasis aturan.</w:t>
      </w:r>
    </w:p>
    <w:p>
      <w:pPr>
        <w:spacing w:before="0" w:after="6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pendukung keputusan yang membantu pemangku kepentingan menetapkan tindak lanjut berdasarkan bukti analitik dan pertimbangan akademik.</w:t>
      </w:r>
    </w:p>
    <w:p>
      <w:pPr>
        <w:pStyle w:val="Heading1"/>
        <w:keepNext/>
        <w:spacing w:before="160" w:after="80"/>
        <w:jc w:val="center"/>
      </w:pPr>
      <w:r>
        <w:rPr>
          <w:rFonts w:ascii="Times New Roman" w:hAnsi="Times New Roman"/>
          <w:b w:val="0"/>
          <w:color w:val="000000"/>
          <w:sz w:val="20"/>
        </w:rPr>
        <w:t>IV. RESULTS</w:t>
      </w:r>
    </w:p>
    <w:p>
      <w:pPr>
        <w:pStyle w:val="Heading2"/>
        <w:keepNext/>
        <w:spacing w:before="100" w:after="40"/>
        <w:jc w:val="left"/>
      </w:pPr>
      <w:r>
        <w:rPr>
          <w:rFonts w:ascii="Times New Roman" w:hAnsi="Times New Roman"/>
          <w:i/>
          <w:color w:val="000000"/>
          <w:sz w:val="20"/>
        </w:rPr>
        <w:t>A. Dataset and Validation Results</w:t>
      </w:r>
    </w:p>
    <w:p>
      <w:pPr>
        <w:spacing w:before="0" w:after="60" w:line="240" w:lineRule="auto"/>
        <w:ind w:firstLine="259"/>
        <w:jc w:val="both"/>
      </w:pPr>
      <w:r>
        <w:rPr>
          <w:rFonts w:ascii="Times New Roman" w:hAnsi="Times New Roman"/>
          <w:b w:val="0"/>
          <w:i w:val="0"/>
          <w:color w:val="000000"/>
          <w:sz w:val="20"/>
        </w:rPr>
        <w:t xml:space="preserve">Dataset hasil olahan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Data latih-validasi memuat 26.122 baris, sedangkan data uji hold-out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memastikan tidak ada mahasiswa yang muncul pada kedua bagian data.</w:t>
      </w:r>
    </w:p>
    <w:p>
      <w:pPr>
        <w:spacing w:before="0" w:after="60" w:line="240" w:lineRule="auto"/>
        <w:ind w:firstLine="259"/>
        <w:jc w:val="both"/>
      </w:pPr>
      <w:r>
        <w:rPr>
          <w:rFonts w:ascii="Times New Roman" w:hAnsi="Times New Roman"/>
          <w:b w:val="0"/>
          <w:i w:val="0"/>
          <w:color w:val="000000"/>
          <w:sz w:val="20"/>
        </w:rPr>
        <w:t xml:space="preserve">Komposisi target pada dataset pemodelan relatif berimbang, sehingga evaluasi model tidak berangkat dari dominasi satu kelas yang ekstrem. Keseimbangan ini menjadi titik awal yang penting karena tujuan penelitian bukan hanya memperoleh accuracy tinggi, tetapi juga menjaga kemampuan model mengenali mahasiswa yang masuk kelompok </w:t>
      </w:r>
      <w:r>
        <w:rPr>
          <w:rFonts w:ascii="Times New Roman" w:hAnsi="Times New Roman"/>
          <w:b w:val="0"/>
          <w:i/>
          <w:color w:val="000000"/>
          <w:sz w:val="20"/>
        </w:rPr>
        <w:t>AtRisk</w:t>
      </w:r>
      <w:r>
        <w:rPr>
          <w:rFonts w:ascii="Times New Roman" w:hAnsi="Times New Roman"/>
          <w:b w:val="0"/>
          <w:i w:val="0"/>
          <w:color w:val="000000"/>
          <w:sz w:val="20"/>
        </w:rPr>
        <w:t>.</w:t>
      </w:r>
    </w:p>
    <w:p>
      <w:pPr>
        <w:keepNext/>
        <w:spacing w:before="80" w:after="20"/>
        <w:jc w:val="center"/>
      </w:pPr>
      <w:r>
        <w:drawing>
          <wp:inline xmlns:a="http://schemas.openxmlformats.org/drawingml/2006/main" xmlns:pic="http://schemas.openxmlformats.org/drawingml/2006/picture">
            <wp:extent cx="2971800" cy="1649091"/>
            <wp:docPr id="1" name="Picture 1" descr="Fig. 1. Distribusi target pada dataset pemodelan." title="Fig"/>
            <wp:cNvGraphicFramePr>
              <a:graphicFrameLocks noChangeAspect="1"/>
            </wp:cNvGraphicFramePr>
            <a:graphic>
              <a:graphicData uri="http://schemas.openxmlformats.org/drawingml/2006/picture">
                <pic:pic>
                  <pic:nvPicPr>
                    <pic:cNvPr id="0" name="fig-1a-target-distribution.png"/>
                    <pic:cNvPicPr/>
                  </pic:nvPicPr>
                  <pic:blipFill>
                    <a:blip r:embed="rId9"/>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1. Distribusi target pada dataset pemodelan.</w:t>
      </w:r>
    </w:p>
    <w:p>
      <w:pPr>
        <w:spacing w:before="0" w:after="60" w:line="240" w:lineRule="auto"/>
        <w:ind w:firstLine="259"/>
        <w:jc w:val="both"/>
      </w:pPr>
      <w:r>
        <w:rPr>
          <w:rFonts w:ascii="Times New Roman" w:hAnsi="Times New Roman"/>
          <w:b w:val="0"/>
          <w:i w:val="0"/>
          <w:color w:val="000000"/>
          <w:sz w:val="20"/>
        </w:rPr>
        <w:t xml:space="preserve">Pemeriksaan kualitas data kemudian dilakukan sebelum model dilatih. Data hilang terutama muncul pada </w:t>
      </w:r>
      <w:r>
        <w:rPr>
          <w:rFonts w:ascii="Times New Roman" w:hAnsi="Times New Roman"/>
          <w:b w:val="0"/>
          <w:i/>
          <w:color w:val="000000"/>
          <w:sz w:val="20"/>
        </w:rPr>
        <w:t>imd_band</w:t>
      </w:r>
      <w:r>
        <w:rPr>
          <w:rFonts w:ascii="Times New Roman" w:hAnsi="Times New Roman"/>
          <w:b w:val="0"/>
          <w:i w:val="0"/>
          <w:color w:val="000000"/>
          <w:sz w:val="20"/>
        </w:rPr>
        <w:t xml:space="preserve">, dengan jumlah yang jauh lebih kecil pada </w:t>
      </w:r>
      <w:r>
        <w:rPr>
          <w:rFonts w:ascii="Times New Roman" w:hAnsi="Times New Roman"/>
          <w:b w:val="0"/>
          <w:i/>
          <w:color w:val="000000"/>
          <w:sz w:val="20"/>
        </w:rPr>
        <w:t>date_registration</w:t>
      </w:r>
      <w:r>
        <w:rPr>
          <w:rFonts w:ascii="Times New Roman" w:hAnsi="Times New Roman"/>
          <w:b w:val="0"/>
          <w:i w:val="0"/>
          <w:color w:val="000000"/>
          <w:sz w:val="20"/>
        </w:rPr>
        <w:t>. Dua kondisi tersebut ditangani dalam alur pemodelan berdasarkan data latih-validasi agar proses imputasi tidak dipengaruhi oleh data uji hold-out.</w:t>
      </w:r>
    </w:p>
    <w:p>
      <w:pPr>
        <w:keepNext/>
        <w:spacing w:before="80" w:after="20"/>
        <w:jc w:val="center"/>
      </w:pPr>
      <w:r>
        <w:drawing>
          <wp:inline xmlns:a="http://schemas.openxmlformats.org/drawingml/2006/main" xmlns:pic="http://schemas.openxmlformats.org/drawingml/2006/picture">
            <wp:extent cx="2971800" cy="1649091"/>
            <wp:docPr id="2" name="Picture 2" descr="Fig. 2. Data hilang pada fitur dataset pemodelan." title="Fig"/>
            <wp:cNvGraphicFramePr>
              <a:graphicFrameLocks noChangeAspect="1"/>
            </wp:cNvGraphicFramePr>
            <a:graphic>
              <a:graphicData uri="http://schemas.openxmlformats.org/drawingml/2006/picture">
                <pic:pic>
                  <pic:nvPicPr>
                    <pic:cNvPr id="0" name="fig-1b-missing-values.png"/>
                    <pic:cNvPicPr/>
                  </pic:nvPicPr>
                  <pic:blipFill>
                    <a:blip r:embed="rId10"/>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2. Data hilang pada fitur dataset pemodelan.</w:t>
      </w:r>
    </w:p>
    <w:p>
      <w:pPr>
        <w:pStyle w:val="Heading2"/>
        <w:keepNext/>
        <w:spacing w:before="100" w:after="40"/>
        <w:jc w:val="left"/>
      </w:pPr>
      <w:r>
        <w:rPr>
          <w:rFonts w:ascii="Times New Roman" w:hAnsi="Times New Roman"/>
          <w:i/>
          <w:color w:val="000000"/>
          <w:sz w:val="20"/>
        </w:rPr>
        <w:t>B. Cross-Validation Performance</w:t>
      </w:r>
    </w:p>
    <w:p>
      <w:pPr>
        <w:spacing w:before="0" w:after="60" w:line="240" w:lineRule="auto"/>
        <w:ind w:firstLine="259"/>
        <w:jc w:val="both"/>
      </w:pPr>
      <w:r>
        <w:rPr>
          <w:rFonts w:ascii="Times New Roman" w:hAnsi="Times New Roman"/>
          <w:b w:val="0"/>
          <w:i w:val="0"/>
          <w:color w:val="000000"/>
          <w:sz w:val="20"/>
        </w:rPr>
        <w:t xml:space="preserve">Tabel I menunjukkan rata-rata hasil 5-fold GroupKFold.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0,7126 dan F1-score 0,7536. XGBoost menghasilkan accuracy dan ROC-AUC tertinggi, masing-masing sebesar 0,7582 dan 0,8440. Berdasarkan kriteria pemilihan yang memprioritaskan recall, Random Forest dipilih sebagai model akhir.</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DATA LATIH-VALIDASI</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0,7484 ± 0,0033</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0,7538 ± 0,0033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0,7582 ± 0,0041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0,8081 ± 0,0063</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0,7999 ± 0,0148</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0,8217 ± 0,0093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0,6871 ± 0,0038</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0,7126 ± 0,0040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0,6931 ± 0,0033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0,7427 ± 0,0043</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0,7536 ± 0,0050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0,7519 ± 0,0028</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0,8324 ± 0,0028</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0,0020</w:t>
            </w:r>
          </w:p>
        </w:tc>
      </w:tr>
    </w:tbl>
    <w:p>
      <w:pPr>
        <w:spacing w:before="0" w:after="140" w:line="240" w:lineRule="auto"/>
      </w:pPr>
    </w:p>
    <w:p>
      <w:pPr>
        <w:pStyle w:val="Heading2"/>
        <w:keepNext/>
        <w:spacing w:before="100" w:after="40"/>
        <w:jc w:val="left"/>
      </w:pPr>
      <w:r>
        <w:rPr>
          <w:rFonts w:ascii="Times New Roman" w:hAnsi="Times New Roman"/>
          <w:i/>
          <w:color w:val="000000"/>
          <w:sz w:val="20"/>
        </w:rPr>
        <w:t>C. Hold-Out Evaluation</w:t>
      </w:r>
    </w:p>
    <w:p>
      <w:pPr>
        <w:spacing w:before="0" w:after="60" w:line="240" w:lineRule="auto"/>
        <w:ind w:firstLine="259"/>
        <w:jc w:val="both"/>
      </w:pPr>
      <w:r>
        <w:rPr>
          <w:rFonts w:ascii="Times New Roman" w:hAnsi="Times New Roman"/>
          <w:b w:val="0"/>
          <w:i w:val="0"/>
          <w:color w:val="000000"/>
          <w:sz w:val="20"/>
        </w:rPr>
        <w:t xml:space="preserve">Tabel II memperlihatkan performa pada data uji hold-out. Random Forest mencapai accuracy 0,7592, precision </w:t>
      </w:r>
      <w:r>
        <w:rPr>
          <w:rFonts w:ascii="Times New Roman" w:hAnsi="Times New Roman"/>
          <w:b w:val="0"/>
          <w:i/>
          <w:color w:val="000000"/>
          <w:sz w:val="20"/>
        </w:rPr>
        <w:t>AtRisk</w:t>
      </w:r>
      <w:r>
        <w:rPr>
          <w:rFonts w:ascii="Times New Roman" w:hAnsi="Times New Roman"/>
          <w:b w:val="0"/>
          <w:i w:val="0"/>
          <w:color w:val="000000"/>
          <w:sz w:val="20"/>
        </w:rPr>
        <w:t xml:space="preserve"> 0,8032, recall 0,7172, F1-score 0,7578, dan ROC-AUC 0,8396. XGBoost menghasilkan accuracy 0,7633 dan ROC-AUC 0,8440, sedangkan recall </w:t>
      </w:r>
      <w:r>
        <w:rPr>
          <w:rFonts w:ascii="Times New Roman" w:hAnsi="Times New Roman"/>
          <w:b w:val="0"/>
          <w:i/>
          <w:color w:val="000000"/>
          <w:sz w:val="20"/>
        </w:rPr>
        <w:t>AtRisk</w:t>
      </w:r>
      <w:r>
        <w:rPr>
          <w:rFonts w:ascii="Times New Roman" w:hAnsi="Times New Roman"/>
          <w:b w:val="0"/>
          <w:i w:val="0"/>
          <w:color w:val="000000"/>
          <w:sz w:val="20"/>
        </w:rPr>
        <w:t xml:space="preserve"> mencapai 0,7054. Logistic Regression menghasilkan recall terendah sebesar 0,6869.</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DATA UJI HOLD-OUT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0,7476</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0,7592</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0,7633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0,8040</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0,8032</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0,8186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0,6869</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0,7172</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0,7408</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0,8298</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w:t>
            </w:r>
          </w:p>
        </w:tc>
      </w:tr>
    </w:tbl>
    <w:p>
      <w:pPr>
        <w:spacing w:before="0" w:after="140" w:line="240" w:lineRule="auto"/>
      </w:pPr>
    </w:p>
    <w:p>
      <w:pPr>
        <w:spacing w:before="0" w:after="60" w:line="240" w:lineRule="auto"/>
        <w:ind w:firstLine="259"/>
        <w:jc w:val="both"/>
      </w:pPr>
      <w:r>
        <w:rPr>
          <w:rFonts w:ascii="Times New Roman" w:hAnsi="Times New Roman"/>
          <w:b w:val="0"/>
          <w:i w:val="0"/>
          <w:color w:val="000000"/>
          <w:sz w:val="20"/>
        </w:rPr>
        <w:t xml:space="preserve">Ringkasan klasifikasi Random Forest menunjukkan precision 0,80, recall 0,72, dan F1-score 0,76 pada 3.398 kasus </w:t>
      </w:r>
      <w:r>
        <w:rPr>
          <w:rFonts w:ascii="Times New Roman" w:hAnsi="Times New Roman"/>
          <w:b w:val="0"/>
          <w:i/>
          <w:color w:val="000000"/>
          <w:sz w:val="20"/>
        </w:rPr>
        <w:t>AtRisk</w:t>
      </w:r>
      <w:r>
        <w:rPr>
          <w:rFonts w:ascii="Times New Roman" w:hAnsi="Times New Roman"/>
          <w:b w:val="0"/>
          <w:i w:val="0"/>
          <w:color w:val="000000"/>
          <w:sz w:val="20"/>
        </w:rPr>
        <w:t xml:space="preserve">. Pada 3.073 kasus </w:t>
      </w:r>
      <w:r>
        <w:rPr>
          <w:rFonts w:ascii="Times New Roman" w:hAnsi="Times New Roman"/>
          <w:b w:val="0"/>
          <w:i/>
          <w:color w:val="000000"/>
          <w:sz w:val="20"/>
        </w:rPr>
        <w:t>Successful</w:t>
      </w:r>
      <w:r>
        <w:rPr>
          <w:rFonts w:ascii="Times New Roman" w:hAnsi="Times New Roman"/>
          <w:b w:val="0"/>
          <w:i w:val="0"/>
          <w:color w:val="000000"/>
          <w:sz w:val="20"/>
        </w:rPr>
        <w:t xml:space="preserve">, precision mencapai 0,72, recall 0,81, dan F1-score 0,76. Rata-rata tertimbang F1-score mencapai 0,76. Perbandingan metrik antar model menempatkan Random Forest sebagai pilihan yang paling relevan untuk konteks peringatan dini karena recall </w:t>
      </w:r>
      <w:r>
        <w:rPr>
          <w:rFonts w:ascii="Times New Roman" w:hAnsi="Times New Roman"/>
          <w:b w:val="0"/>
          <w:i/>
          <w:color w:val="000000"/>
          <w:sz w:val="20"/>
        </w:rPr>
        <w:t>AtRisk</w:t>
      </w:r>
      <w:r>
        <w:rPr>
          <w:rFonts w:ascii="Times New Roman" w:hAnsi="Times New Roman"/>
          <w:b w:val="0"/>
          <w:i w:val="0"/>
          <w:color w:val="000000"/>
          <w:sz w:val="20"/>
        </w:rPr>
        <w:t xml:space="preserve"> menjadi ukuran yang paling dekat dengan kebutuhan menemukan mahasiswa berisiko sejak awal.</w:t>
      </w:r>
    </w:p>
    <w:p>
      <w:pPr>
        <w:keepNext/>
        <w:spacing w:before="80" w:after="20"/>
        <w:jc w:val="center"/>
      </w:pPr>
      <w:r>
        <w:drawing>
          <wp:inline xmlns:a="http://schemas.openxmlformats.org/drawingml/2006/main" xmlns:pic="http://schemas.openxmlformats.org/drawingml/2006/picture">
            <wp:extent cx="2971800" cy="2176023"/>
            <wp:docPr id="3" name="Picture 3" descr="Fig. 3. Perbandingan metrik AtRisk pada data uji hold-out." title="Fig"/>
            <wp:cNvGraphicFramePr>
              <a:graphicFrameLocks noChangeAspect="1"/>
            </wp:cNvGraphicFramePr>
            <a:graphic>
              <a:graphicData uri="http://schemas.openxmlformats.org/drawingml/2006/picture">
                <pic:pic>
                  <pic:nvPicPr>
                    <pic:cNvPr id="0" name="fig-2a-metrics-comparison.png"/>
                    <pic:cNvPicPr/>
                  </pic:nvPicPr>
                  <pic:blipFill>
                    <a:blip r:embed="rId11"/>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3. Perbandingan metrik AtRisk pada data uji hold-out.</w:t>
      </w:r>
    </w:p>
    <w:p>
      <w:pPr>
        <w:spacing w:before="0" w:after="60" w:line="240" w:lineRule="auto"/>
        <w:ind w:firstLine="259"/>
        <w:jc w:val="both"/>
      </w:pPr>
      <w:r>
        <w:rPr>
          <w:rFonts w:ascii="Times New Roman" w:hAnsi="Times New Roman"/>
          <w:b w:val="0"/>
          <w:i w:val="0"/>
          <w:color w:val="000000"/>
          <w:sz w:val="20"/>
        </w:rPr>
        <w:t xml:space="preserve">Setelah model dipilih, pola kesalahan Random Forest diperiksa untuk memahami risiko operasionalnya. Model tersebut berhasil mengenali 2.437 kasus </w:t>
      </w:r>
      <w:r>
        <w:rPr>
          <w:rFonts w:ascii="Times New Roman" w:hAnsi="Times New Roman"/>
          <w:b w:val="0"/>
          <w:i/>
          <w:color w:val="000000"/>
          <w:sz w:val="20"/>
        </w:rPr>
        <w:t>AtRisk</w:t>
      </w:r>
      <w:r>
        <w:rPr>
          <w:rFonts w:ascii="Times New Roman" w:hAnsi="Times New Roman"/>
          <w:b w:val="0"/>
          <w:i w:val="0"/>
          <w:color w:val="000000"/>
          <w:sz w:val="20"/>
        </w:rPr>
        <w:t>, tetapi masih melewatkan 961 kasus yang seharusnya masuk kelompok berisiko. Temuan ini menunjukkan bahwa sistem sudah cukup kuat untuk menyaring sebagian besar mahasiswa berisiko, namun tetap membutuhkan lapisan prioritas dan verifikasi agar kasus yang belum terdeteksi dapat diminimalkan.</w:t>
      </w:r>
    </w:p>
    <w:p>
      <w:pPr>
        <w:keepNext/>
        <w:spacing w:before="80" w:after="20"/>
        <w:jc w:val="center"/>
      </w:pPr>
      <w:r>
        <w:drawing>
          <wp:inline xmlns:a="http://schemas.openxmlformats.org/drawingml/2006/main" xmlns:pic="http://schemas.openxmlformats.org/drawingml/2006/picture">
            <wp:extent cx="2971800" cy="2176023"/>
            <wp:docPr id="4" name="Picture 4" descr="Fig. 4. Confusion matrix Random Forest pada data uji hold-out." title="Fig"/>
            <wp:cNvGraphicFramePr>
              <a:graphicFrameLocks noChangeAspect="1"/>
            </wp:cNvGraphicFramePr>
            <a:graphic>
              <a:graphicData uri="http://schemas.openxmlformats.org/drawingml/2006/picture">
                <pic:pic>
                  <pic:nvPicPr>
                    <pic:cNvPr id="0" name="fig-2b-confusion-matrix.png"/>
                    <pic:cNvPicPr/>
                  </pic:nvPicPr>
                  <pic:blipFill>
                    <a:blip r:embed="rId12"/>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4. Confusion matrix Random Forest pada data uji hold-out.</w:t>
      </w:r>
    </w:p>
    <w:p>
      <w:pPr>
        <w:spacing w:before="0" w:after="60" w:line="240" w:lineRule="auto"/>
        <w:ind w:firstLine="259"/>
        <w:jc w:val="both"/>
      </w:pPr>
      <w:r>
        <w:rPr>
          <w:rFonts w:ascii="Times New Roman" w:hAnsi="Times New Roman"/>
          <w:b w:val="0"/>
          <w:i w:val="0"/>
          <w:color w:val="000000"/>
          <w:sz w:val="20"/>
        </w:rPr>
        <w:t>Kurva ROC memberikan konteks tambahan terhadap perbedaan antar model. Ketiga kurva berada cukup berdekatan, sehingga selisih ROC-AUC perlu dibaca bersama tujuan keputusan. Dalam penelitian ini, kemampuan memperluas cakupan deteksi lebih diprioritaskan daripada memilih model hanya berdasarkan peringkat ROC-AUC.</w:t>
      </w:r>
    </w:p>
    <w:p>
      <w:pPr>
        <w:keepNext/>
        <w:spacing w:before="80" w:after="20"/>
        <w:jc w:val="center"/>
      </w:pPr>
      <w:r>
        <w:drawing>
          <wp:inline xmlns:a="http://schemas.openxmlformats.org/drawingml/2006/main" xmlns:pic="http://schemas.openxmlformats.org/drawingml/2006/picture">
            <wp:extent cx="2971800" cy="2172736"/>
            <wp:docPr id="5" name="Picture 5" descr="Fig. 5. Kurva ROC pada data uji hold-out." title="Fig"/>
            <wp:cNvGraphicFramePr>
              <a:graphicFrameLocks noChangeAspect="1"/>
            </wp:cNvGraphicFramePr>
            <a:graphic>
              <a:graphicData uri="http://schemas.openxmlformats.org/drawingml/2006/picture">
                <pic:pic>
                  <pic:nvPicPr>
                    <pic:cNvPr id="0" name="fig-2c-roc-curve.png"/>
                    <pic:cNvPicPr/>
                  </pic:nvPicPr>
                  <pic:blipFill>
                    <a:blip r:embed="rId13"/>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5. Kurva ROC pada data uji hold-out.</w:t>
      </w:r>
    </w:p>
    <w:p>
      <w:pPr>
        <w:spacing w:before="0" w:after="60" w:line="240" w:lineRule="auto"/>
        <w:ind w:firstLine="259"/>
        <w:jc w:val="both"/>
      </w:pPr>
      <w:r>
        <w:rPr>
          <w:rFonts w:ascii="Times New Roman" w:hAnsi="Times New Roman"/>
          <w:b w:val="0"/>
          <w:i w:val="0"/>
          <w:color w:val="000000"/>
          <w:sz w:val="20"/>
        </w:rPr>
        <w:t>Kontribusi fitur Random Forest memperlihatkan bahwa sinyal perilaku awal menjadi pembeda utama. Total klik VLE, hari aktivitas terakhir, jumlah hari aktif, dan ragam situs yang diakses muncul sebagai prediktor teratas, diikuti fitur assessment dan registrasi. Temuan ini selaras dengan tujuan peringatan dini karena model banyak bertumpu pada jejak engagement yang sudah tersedia sampai akhir minggu keempat. Nilai importance tetap ditafsirkan sebagai kontribusi prediktif, bukan bukti hubungan sebab akibat.</w:t>
      </w:r>
    </w:p>
    <w:p>
      <w:pPr>
        <w:keepNext/>
        <w:spacing w:before="80" w:after="20"/>
        <w:jc w:val="center"/>
      </w:pPr>
      <w:r>
        <w:drawing>
          <wp:inline xmlns:a="http://schemas.openxmlformats.org/drawingml/2006/main" xmlns:pic="http://schemas.openxmlformats.org/drawingml/2006/picture">
            <wp:extent cx="2971800" cy="1760174"/>
            <wp:docPr id="6" name="Picture 6" descr="Fig. 6.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4"/>
                    <a:stretch>
                      <a:fillRect/>
                    </a:stretch>
                  </pic:blipFill>
                  <pic:spPr>
                    <a:xfrm>
                      <a:off x="0" y="0"/>
                      <a:ext cx="2971800" cy="1760174"/>
                    </a:xfrm>
                    <a:prstGeom prst="rect"/>
                  </pic:spPr>
                </pic:pic>
              </a:graphicData>
            </a:graphic>
          </wp:inline>
        </w:drawing>
      </w:r>
    </w:p>
    <w:p>
      <w:pPr>
        <w:keepLines/>
        <w:spacing w:before="20" w:after="80"/>
        <w:jc w:val="center"/>
      </w:pPr>
      <w:r>
        <w:rPr>
          <w:rFonts w:ascii="Times New Roman" w:hAnsi="Times New Roman"/>
          <w:b w:val="0"/>
          <w:i w:val="0"/>
          <w:color w:val="000000"/>
          <w:sz w:val="16"/>
        </w:rPr>
        <w:t>Fig. 6. Lima belas fitur dengan feature importance tertinggi pada Random Forest.</w:t>
      </w:r>
    </w:p>
    <w:p>
      <w:pPr>
        <w:pStyle w:val="Heading2"/>
        <w:keepNext/>
        <w:spacing w:before="100" w:after="40"/>
        <w:jc w:val="left"/>
      </w:pPr>
      <w:r>
        <w:rPr>
          <w:rFonts w:ascii="Times New Roman" w:hAnsi="Times New Roman"/>
          <w:i/>
          <w:color w:val="000000"/>
          <w:sz w:val="20"/>
        </w:rPr>
        <w:t>D. Rule-Based Risk Layer</w:t>
      </w:r>
    </w:p>
    <w:p>
      <w:pPr>
        <w:spacing w:before="0" w:after="60" w:line="240" w:lineRule="auto"/>
        <w:ind w:firstLine="259"/>
        <w:jc w:val="both"/>
      </w:pPr>
      <w:r>
        <w:rPr>
          <w:rFonts w:ascii="Times New Roman" w:hAnsi="Times New Roman"/>
          <w:b w:val="0"/>
          <w:i w:val="0"/>
          <w:color w:val="000000"/>
          <w:sz w:val="20"/>
        </w:rPr>
        <w:t xml:space="preserve">Ambang kuartil bawah data latih-validasi adalah skor assessment 0, jumlah assessment 0, total klik VLE 47, dan hari aktif VLE 4. Nilai nol pada indikator assessment menunjukkan bahwa sebagian mahasiswa belum mengumpulkan assessment sampai akhir minggu keempat. Lapisan risiko berbasis aturan menghasilkan 1.795 </w:t>
      </w:r>
      <w:r>
        <w:rPr>
          <w:rFonts w:ascii="Times New Roman" w:hAnsi="Times New Roman"/>
          <w:b w:val="0"/>
          <w:i/>
          <w:color w:val="000000"/>
          <w:sz w:val="20"/>
        </w:rPr>
        <w:t>High Risk</w:t>
      </w:r>
      <w:r>
        <w:rPr>
          <w:rFonts w:ascii="Times New Roman" w:hAnsi="Times New Roman"/>
          <w:b w:val="0"/>
          <w:i w:val="0"/>
          <w:color w:val="000000"/>
          <w:sz w:val="20"/>
        </w:rPr>
        <w:t xml:space="preserve">, 1.994 </w:t>
      </w:r>
      <w:r>
        <w:rPr>
          <w:rFonts w:ascii="Times New Roman" w:hAnsi="Times New Roman"/>
          <w:b w:val="0"/>
          <w:i/>
          <w:color w:val="000000"/>
          <w:sz w:val="20"/>
        </w:rPr>
        <w:t>Medium Risk</w:t>
      </w:r>
      <w:r>
        <w:rPr>
          <w:rFonts w:ascii="Times New Roman" w:hAnsi="Times New Roman"/>
          <w:b w:val="0"/>
          <w:i w:val="0"/>
          <w:color w:val="000000"/>
          <w:sz w:val="20"/>
        </w:rPr>
        <w:t xml:space="preserve">, dan 2.682 </w:t>
      </w:r>
      <w:r>
        <w:rPr>
          <w:rFonts w:ascii="Times New Roman" w:hAnsi="Times New Roman"/>
          <w:b w:val="0"/>
          <w:i/>
          <w:color w:val="000000"/>
          <w:sz w:val="20"/>
        </w:rPr>
        <w:t>Low Risk</w:t>
      </w:r>
      <w:r>
        <w:rPr>
          <w:rFonts w:ascii="Times New Roman" w:hAnsi="Times New Roman"/>
          <w:b w:val="0"/>
          <w:i w:val="0"/>
          <w:color w:val="000000"/>
          <w:sz w:val="20"/>
        </w:rPr>
        <w:t xml:space="preserve"> pada data uji hold-out.</w:t>
      </w:r>
    </w:p>
    <w:p>
      <w:pPr>
        <w:spacing w:before="0" w:after="60" w:line="240" w:lineRule="auto"/>
        <w:ind w:firstLine="259"/>
        <w:jc w:val="both"/>
      </w:pPr>
      <w:r>
        <w:rPr>
          <w:rFonts w:ascii="Times New Roman" w:hAnsi="Times New Roman"/>
          <w:b w:val="0"/>
          <w:i w:val="0"/>
          <w:color w:val="000000"/>
          <w:sz w:val="20"/>
        </w:rPr>
        <w:t>Tabel III membandingkan Random Forest dengan sistem gabungan. Lapisan risiko berbasis aturan meningkatkan recall dari 0,7172 menjadi 0,7849. Precision berubah dari 0,8032 menjadi 0,7039, sedangkan accuracy berubah dari 0,7592 menjadi 0,7136. Perubahan tersebut menunjukkan perluasan cakupan deteksi disertai peningkatan jumlah alarm yang memerlukan verifikasi oleh pemangku kepentingan akademik.</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LAPISAN RISIKO BERBASIS ATURAN</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Lapisan Aturan</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0,7592</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0,7136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0,8032</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0,7039</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0,7172</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0,7849</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0,7422</w:t>
            </w:r>
          </w:p>
        </w:tc>
      </w:tr>
    </w:tbl>
    <w:p>
      <w:pPr>
        <w:spacing w:before="0" w:after="140" w:line="240" w:lineRule="auto"/>
      </w:pPr>
    </w:p>
    <w:p>
      <w:pPr>
        <w:pStyle w:val="Heading2"/>
        <w:keepNext/>
        <w:spacing w:before="100" w:after="40"/>
        <w:jc w:val="left"/>
      </w:pPr>
      <w:r>
        <w:rPr>
          <w:rFonts w:ascii="Times New Roman" w:hAnsi="Times New Roman"/>
          <w:i/>
          <w:color w:val="000000"/>
          <w:sz w:val="20"/>
        </w:rPr>
        <w:t>E. Business Intelligence Output</w:t>
      </w:r>
    </w:p>
    <w:p>
      <w:pPr>
        <w:spacing w:before="0" w:after="60" w:line="240" w:lineRule="auto"/>
        <w:ind w:firstLine="259"/>
        <w:jc w:val="both"/>
      </w:pPr>
      <w:r>
        <w:rPr>
          <w:rFonts w:ascii="Times New Roman" w:hAnsi="Times New Roman"/>
          <w:b w:val="0"/>
          <w:i w:val="0"/>
          <w:color w:val="000000"/>
          <w:sz w:val="20"/>
        </w:rPr>
        <w:t xml:space="preserve">Dashboard mengidentifikasi 3.789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paling dominan adalah skor assessment rendah dengan 2.341 kasus. Module GGG presentation 2014J memiliki proporsi prioritas tertinggi pada data uji hold-out, yaitu 100% kasus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Indikator tersebut berfungsi sebagai sinyal untuk meninjau konteks modul dan kapasitas intervensi.</w:t>
      </w:r>
    </w:p>
    <w:p>
      <w:pPr>
        <w:spacing w:before="0" w:after="60" w:line="240" w:lineRule="auto"/>
        <w:ind w:firstLine="259"/>
        <w:jc w:val="both"/>
      </w:pPr>
      <w:r>
        <w:rPr>
          <w:rFonts w:ascii="Times New Roman" w:hAnsi="Times New Roman"/>
          <w:b w:val="0"/>
          <w:i w:val="0"/>
          <w:color w:val="000000"/>
          <w:sz w:val="20"/>
        </w:rPr>
        <w:t xml:space="preserve">Daftar prioritas menyajikan identitas anonim mahasiswa,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risiko, jumlah sinyal, alasan, dan rekomendasi. Struktur tersebut menghubungkan hasil model dengan tindakan seperti monitoring akses VLE, pendampingan assessment, serta konseling akademik.</w:t>
      </w:r>
    </w:p>
    <w:p>
      <w:pPr>
        <w:spacing w:before="0" w:after="60" w:line="240" w:lineRule="auto"/>
        <w:ind w:firstLine="259"/>
        <w:jc w:val="both"/>
      </w:pPr>
      <w:r>
        <w:rPr>
          <w:rFonts w:ascii="Times New Roman" w:hAnsi="Times New Roman"/>
          <w:b w:val="0"/>
          <w:i w:val="0"/>
          <w:color w:val="000000"/>
          <w:sz w:val="20"/>
        </w:rPr>
        <w:t>Keluaran analitik kemudian disajikan ke dalam dashboard agar hasil model menjadi prioritas tindakan, bukan hanya angka evaluasi. Tampilan tersebut menghubungkan KPI risiko, level prioritas, konsentrasi module-presentation, distribusi probabilitas, sinyal dominan, perbandingan perilaku, confusion matrix, dan perubahan performa setelah lapisan risiko berbasis aturan. Dengan susunan ini, pengguna dapat bergerak dari ringkasan strategis menuju penelusuran kelompok atau mahasiswa yang membutuhkan tindak lanjut.</w:t>
      </w:r>
    </w:p>
    <w:p>
      <w:pPr>
        <w:sectPr>
          <w:type w:val="continuous"/>
          <w:pgSz w:w="12240" w:h="15840"/>
          <w:pgMar w:top="936" w:right="936" w:bottom="936" w:left="936" w:header="432" w:footer="432" w:gutter="0"/>
          <w:cols w:space="360" w:num="2" w:equalWidth="1"/>
          <w:docGrid w:linePitch="360"/>
        </w:sectPr>
      </w:pPr>
    </w:p>
    <w:p>
      <w:pPr>
        <w:keepNext/>
        <w:spacing w:before="80" w:after="20"/>
        <w:jc w:val="center"/>
      </w:pPr>
      <w:r>
        <w:drawing>
          <wp:inline xmlns:a="http://schemas.openxmlformats.org/drawingml/2006/main" xmlns:pic="http://schemas.openxmlformats.org/drawingml/2006/picture">
            <wp:extent cx="5486400" cy="4940761"/>
            <wp:docPr id="7" name="Picture 7" descr="Fig. 7. Dashboard peringatan dini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5"/>
                    <a:stretch>
                      <a:fillRect/>
                    </a:stretch>
                  </pic:blipFill>
                  <pic:spPr>
                    <a:xfrm>
                      <a:off x="0" y="0"/>
                      <a:ext cx="5486400" cy="4940761"/>
                    </a:xfrm>
                    <a:prstGeom prst="rect"/>
                  </pic:spPr>
                </pic:pic>
              </a:graphicData>
            </a:graphic>
          </wp:inline>
        </w:drawing>
      </w:r>
    </w:p>
    <w:p>
      <w:pPr>
        <w:keepLines/>
        <w:spacing w:before="20" w:after="80"/>
        <w:jc w:val="center"/>
      </w:pPr>
      <w:r>
        <w:rPr>
          <w:rFonts w:ascii="Times New Roman" w:hAnsi="Times New Roman"/>
          <w:b w:val="0"/>
          <w:i w:val="0"/>
          <w:color w:val="000000"/>
          <w:sz w:val="16"/>
        </w:rPr>
        <w:t>Fig. 7. Dashboard peringatan dini OULAD pada akhir minggu keempat.</w:t>
      </w:r>
    </w:p>
    <w:p>
      <w:pPr>
        <w:sectPr>
          <w:type w:val="continuous"/>
          <w:pgSz w:w="12240" w:h="15840"/>
          <w:pgMar w:top="936" w:right="936" w:bottom="936" w:left="936" w:header="432" w:footer="432" w:gutter="0"/>
          <w:cols w:space="360" w:num="1" w:equalWidth="1"/>
          <w:docGrid w:linePitch="360"/>
        </w:sectPr>
      </w:pPr>
    </w:p>
    <w:p>
      <w:pPr>
        <w:pStyle w:val="Heading1"/>
        <w:keepNext/>
        <w:spacing w:before="160" w:after="80"/>
        <w:jc w:val="center"/>
      </w:pPr>
      <w:r>
        <w:rPr>
          <w:rFonts w:ascii="Times New Roman" w:hAnsi="Times New Roman"/>
          <w:b w:val="0"/>
          <w:color w:val="000000"/>
          <w:sz w:val="20"/>
        </w:rPr>
        <w:t>V. DISCUSSION</w:t>
      </w:r>
    </w:p>
    <w:p>
      <w:pPr>
        <w:spacing w:before="0" w:after="60" w:line="240" w:lineRule="auto"/>
        <w:ind w:firstLine="259"/>
        <w:jc w:val="both"/>
      </w:pPr>
      <w:r>
        <w:rPr>
          <w:rFonts w:ascii="Times New Roman" w:hAnsi="Times New Roman"/>
          <w:b w:val="0"/>
          <w:i w:val="0"/>
          <w:color w:val="000000"/>
          <w:sz w:val="20"/>
        </w:rPr>
        <w:t xml:space="preserve">Hasil eksperimen menunjukkan bahwa pemilihan model bergantung pada tujuan keputusan. XGBoost menghasilkan accuracy dan ROC-AUC tertinggi, sedangkan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data uji hold-out. Penelitian ini memprioritaskan recall karena sistem peringatan dini diarahkan untuk memperluas cakupan mahasiswa berisiko yang dapat diverifikasi oleh pemangku kepentingan akademik. F1-score Random Forest dan XGBoost pada data uji hold-out memiliki nilai sama sebesar 0,7578, sehingga recall menjadi pembeda yang relevan.</w:t>
      </w:r>
    </w:p>
    <w:p>
      <w:pPr>
        <w:spacing w:before="0" w:after="60" w:line="240" w:lineRule="auto"/>
        <w:ind w:firstLine="259"/>
        <w:jc w:val="both"/>
      </w:pPr>
      <w:r>
        <w:rPr>
          <w:rFonts w:ascii="Times New Roman" w:hAnsi="Times New Roman"/>
          <w:b w:val="0"/>
          <w:i w:val="0"/>
          <w:color w:val="000000"/>
          <w:sz w:val="20"/>
        </w:rPr>
        <w:t>Performa sekitar 0,76 lebih rendah dibandingkan eksperimen yang memakai aktivitas seluruh semester dan status unregistration. Nilai tersebut merepresentasikan kondisi yang lebih menantang karena model hanya menerima informasi sampai hari ke-28. Pembatasan temporal menjaga hubungan antara waktu fitur tersedia dan waktu keputusan intervensi. Hasil ini memperlihatkan bahwa evaluasi sistem peringatan dini perlu ditafsirkan berdasarkan horizon prediksi, sehingga perbandingan performa antarpenelitian memerlukan kesetaraan batas data.</w:t>
      </w:r>
    </w:p>
    <w:p>
      <w:pPr>
        <w:spacing w:before="0" w:after="60" w:line="240" w:lineRule="auto"/>
        <w:ind w:firstLine="259"/>
        <w:jc w:val="both"/>
      </w:pPr>
      <w:r>
        <w:rPr>
          <w:rFonts w:ascii="Times New Roman" w:hAnsi="Times New Roman"/>
          <w:b w:val="0"/>
          <w:i w:val="0"/>
          <w:color w:val="000000"/>
          <w:sz w:val="20"/>
        </w:rPr>
        <w:t>Ambang assessment sebesar nol memiliki makna operasional khusus. Pada minggu keempat, sejumlah module-presentation belum menghasilkan submission assessment untuk semua mahasiswa. Kondisi belum mengumpulkan assessment menjadi sinyal engagement awal, sedangkan kemampuan membedakan skor rendah di atas nol masih terbatas. Penelitian lanjutan dapat menggunakan ambang per module-presentation atau menyesuaikan batas waktu dengan jadwal assessment untuk memperoleh aturan yang lebih kontekstual.</w:t>
      </w:r>
    </w:p>
    <w:p>
      <w:pPr>
        <w:spacing w:before="0" w:after="60" w:line="240" w:lineRule="auto"/>
        <w:ind w:firstLine="259"/>
        <w:jc w:val="both"/>
      </w:pPr>
      <w:r>
        <w:rPr>
          <w:rFonts w:ascii="Times New Roman" w:hAnsi="Times New Roman"/>
          <w:b w:val="0"/>
          <w:i w:val="0"/>
          <w:color w:val="000000"/>
          <w:sz w:val="20"/>
        </w:rPr>
        <w:t xml:space="preserve">Lapisan risiko berbasis aturan meningkatkan recall sebesar 0,0677 poin dari 0,7172 menjadi 0,7849. Peningkatan tersebut memperluas cakupan mahasiswa </w:t>
      </w:r>
      <w:r>
        <w:rPr>
          <w:rFonts w:ascii="Times New Roman" w:hAnsi="Times New Roman"/>
          <w:b w:val="0"/>
          <w:i/>
          <w:color w:val="000000"/>
          <w:sz w:val="20"/>
        </w:rPr>
        <w:t>AtRisk</w:t>
      </w:r>
      <w:r>
        <w:rPr>
          <w:rFonts w:ascii="Times New Roman" w:hAnsi="Times New Roman"/>
          <w:b w:val="0"/>
          <w:i w:val="0"/>
          <w:color w:val="000000"/>
          <w:sz w:val="20"/>
        </w:rPr>
        <w:t xml:space="preserve"> yang masuk antrean intervensi. Penurunan precision menjadi 0,7039 menunjukkan bertambahnya kasus yang perlu diverifikasi. Perubahan ini berkaitan langsung dengan kapasitas operasional. Institusi dengan sumber daya konseling terbatas dapat memprioritaskan </w:t>
      </w:r>
      <w:r>
        <w:rPr>
          <w:rFonts w:ascii="Times New Roman" w:hAnsi="Times New Roman"/>
          <w:b w:val="0"/>
          <w:i/>
          <w:color w:val="000000"/>
          <w:sz w:val="20"/>
        </w:rPr>
        <w:t>High Risk</w:t>
      </w:r>
      <w:r>
        <w:rPr>
          <w:rFonts w:ascii="Times New Roman" w:hAnsi="Times New Roman"/>
          <w:b w:val="0"/>
          <w:i w:val="0"/>
          <w:color w:val="000000"/>
          <w:sz w:val="20"/>
        </w:rPr>
        <w:t xml:space="preserve">, sedangkan institusi dengan kapasitas lebih besar dapat memasukkan </w:t>
      </w:r>
      <w:r>
        <w:rPr>
          <w:rFonts w:ascii="Times New Roman" w:hAnsi="Times New Roman"/>
          <w:b w:val="0"/>
          <w:i/>
          <w:color w:val="000000"/>
          <w:sz w:val="20"/>
        </w:rPr>
        <w:t>Medium Risk</w:t>
      </w:r>
      <w:r>
        <w:rPr>
          <w:rFonts w:ascii="Times New Roman" w:hAnsi="Times New Roman"/>
          <w:b w:val="0"/>
          <w:i w:val="0"/>
          <w:color w:val="000000"/>
          <w:sz w:val="20"/>
        </w:rPr>
        <w:t xml:space="preserve"> dalam monitoring berkala.</w:t>
      </w:r>
    </w:p>
    <w:p>
      <w:pPr>
        <w:spacing w:before="0" w:after="60" w:line="240" w:lineRule="auto"/>
        <w:ind w:firstLine="259"/>
        <w:jc w:val="both"/>
      </w:pPr>
      <w:r>
        <w:rPr>
          <w:rFonts w:ascii="Times New Roman" w:hAnsi="Times New Roman"/>
          <w:b w:val="0"/>
          <w:i w:val="0"/>
          <w:color w:val="000000"/>
          <w:sz w:val="20"/>
        </w:rPr>
        <w:t>Lapisan berbasis aturan juga meningkatkan interpretabilitas praktis. Probabilitas model dilengkapi dengan alasan seperti aktivitas VLE rendah, hari aktif rendah, atau assessment yang belum dikerjakan. Informasi tersebut membantu memilih bentuk intervensi yang sesuai. Hubungan ini bersifat asosiasi prediktif, sehingga rekomendasi tetap memerlukan validasi manusia dan informasi kontekstual dari dosen atau tutor.</w:t>
      </w:r>
    </w:p>
    <w:p>
      <w:pPr>
        <w:spacing w:before="0" w:after="60" w:line="240" w:lineRule="auto"/>
        <w:ind w:firstLine="259"/>
        <w:jc w:val="both"/>
      </w:pPr>
      <w:r>
        <w:rPr>
          <w:rFonts w:ascii="Times New Roman" w:hAnsi="Times New Roman"/>
          <w:b w:val="0"/>
          <w:i w:val="0"/>
          <w:color w:val="000000"/>
          <w:sz w:val="20"/>
        </w:rPr>
        <w:t>Dashboard memperluas fungsi eksperimen dari evaluasi teknis menjadi Business Intelligence. Agregasi per module-presentation membantu program studi mengenali konsentrasi risiko, sedangkan daftar prioritas mendukung tindak lanjut tingkat mahasiswa. Temuan 100% prioritas pada GGG 2014J perlu ditafsirkan bersama ukuran kelompok, jadwal assessment, dan karakteristik modul. Dashboard menyediakan titik awal investigasi dan monitoring, sedangkan keputusan akademik ditetapkan melalui proses institusional.</w:t>
      </w:r>
    </w:p>
    <w:p>
      <w:pPr>
        <w:spacing w:before="0" w:after="60" w:line="240" w:lineRule="auto"/>
        <w:ind w:firstLine="259"/>
        <w:jc w:val="both"/>
      </w:pPr>
      <w:r>
        <w:rPr>
          <w:rFonts w:ascii="Times New Roman" w:hAnsi="Times New Roman"/>
          <w:b w:val="0"/>
          <w:i w:val="0"/>
          <w:color w:val="000000"/>
          <w:sz w:val="20"/>
        </w:rPr>
        <w:t>Penelitian memiliki beberapa keterbatasan. OULAD berasal dari konteks Open University di Inggris sehingga validitas eksternal pada institusi lain memerlukan pengujian ulang. Fitur perilaku dibatasi pada agregasi sampai hari ke-28 dan belum memodelkan urutan temporal harian. Hyperparameter model menggunakan konfigurasi awal. Ambang berbasis kuartil memerlukan validasi pakar dan dapat berubah mengikuti cohort, module-presentation, atau kebijakan akademik. Evaluasi juga mengukur performa deteksi, sedangkan dampak intervensi terhadap retensi memerlukan desain eksperimen lanjutan.</w:t>
      </w:r>
    </w:p>
    <w:p>
      <w:pPr>
        <w:pStyle w:val="Heading1"/>
        <w:keepNext/>
        <w:spacing w:before="160" w:after="80"/>
        <w:jc w:val="center"/>
      </w:pPr>
      <w:r>
        <w:rPr>
          <w:rFonts w:ascii="Times New Roman" w:hAnsi="Times New Roman"/>
          <w:b w:val="0"/>
          <w:color w:val="000000"/>
          <w:sz w:val="20"/>
        </w:rPr>
        <w:t>VI. CONCLUSION</w:t>
      </w:r>
    </w:p>
    <w:p>
      <w:pPr>
        <w:spacing w:before="0" w:after="60" w:line="240" w:lineRule="auto"/>
        <w:ind w:firstLine="259"/>
        <w:jc w:val="both"/>
      </w:pPr>
      <w:r>
        <w:rPr>
          <w:rFonts w:ascii="Times New Roman" w:hAnsi="Times New Roman"/>
          <w:b w:val="0"/>
          <w:i w:val="0"/>
          <w:color w:val="000000"/>
          <w:sz w:val="20"/>
        </w:rPr>
        <w:t xml:space="preserve">Penelitian ini mengembangkan sistem peringatan dini risiko dropout mahasiswa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data latih-validasi dan data uji hold-out.</w:t>
      </w:r>
    </w:p>
    <w:p>
      <w:pPr>
        <w:spacing w:before="0" w:after="6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0,7126. Pada data uji hold-out, model menghasilkan accuracy 0,7592, precision 0,8032, recall 0,7172, F1-score 0,7578, dan ROC-AUC 0,8396. Lapisan risiko berbasis aturan meningkatkan recall menjadi 0,7849 dengan menggabungkan prediksi model dan empat sinyal perilaku awal. Sistem menghasilkan level risiko, alasan, dan rekomendasi yang dapat disusun menjadi antrean intervensi.</w:t>
      </w:r>
    </w:p>
    <w:p>
      <w:pPr>
        <w:spacing w:before="0" w:after="6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lapisan risiko berbasis aturan, dan visual analytics menghasilkan dasar pendukung keputusan yang menghubungkan prediksi dengan proses tindak lanjut akademik.</w:t>
      </w:r>
    </w:p>
    <w:p>
      <w:pPr>
        <w:spacing w:before="0" w:after="6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ambang per module-presentation; melakukan tuning hyperparameter; serta menguji validitas eksternal pada data institusi lain. Evaluasi dampak intervensi juga diperlukan untuk mengukur kontribusi sistem terhadap keberlanjutan studi mahasiswa.</w:t>
      </w:r>
    </w:p>
    <w:p>
      <w:pPr>
        <w:pStyle w:val="Heading1"/>
        <w:keepNext/>
        <w:spacing w:before="160" w:after="8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[6]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[7]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[8]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[9]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[10]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[11]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936" w:right="936" w:bottom="936" w:left="936"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Dropout Mahasiswa pada Minggu Keempat Menggunakan Supervised Learning dan Knowledge-Based Risk Layer pada Open University Learning Analytics Dataset</dc:title>
  <dc:subject>Early warning student dropout using OULAD</dc:subject>
  <dc:creator>Muhammad Rizky Hajar, Alwie Muflich, Heri Santosa, Andi Sunyoto, Robert Marco</dc:creator>
  <cp:keywords>student dropout, OULAD, early warning, knowledge-based system, business intelligence</cp:keywords>
  <dc:description>generated by python-docx</dc:description>
  <cp:lastModifiedBy/>
  <cp:revision>1</cp:revision>
  <dcterms:created xsi:type="dcterms:W3CDTF">2013-12-23T23:15:00Z</dcterms:created>
  <dcterms:modified xsi:type="dcterms:W3CDTF">2013-12-23T23:15:00Z</dcterms:modified>
  <cp:category/>
</cp:coreProperties>
</file>