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color w:val="000000"/>
          <w:sz w:val="48"/>
        </w:rPr>
        <w:t>Early Warning Risiko Ketidakberhasilan Mahasiswa dalam Mata Kuliah pada Minggu Keempat Menggunakan Supervised Learning dan Knowledge-Based Risk Layer pada Open University Learning Analytics Dataset</w:t>
      </w:r>
    </w:p>
    <w:tbl>
      <w:tblPr>
        <w:tblW w:type="dxa" w:w="10260"/>
        <w:jc w:val="center"/>
        <w:tblLayout w:type="fixed"/>
        <w:tblLook w:firstColumn="1" w:firstRow="1" w:lastColumn="0" w:lastRow="0" w:noHBand="0" w:noVBand="1" w:val="04A0"/>
      </w:tblPr>
      <w:tblGrid>
        <w:gridCol w:w="3420"/>
        <w:gridCol w:w="3420"/>
        <w:gridCol w:w="3420"/>
      </w:tblGrid>
      <w:tr>
        <w:trPr>
          <w:tblHeader/>
        </w:trPr>
        <w:tc>
          <w:tcPr>
            <w:tcW w:type="dxa" w:w="3420"/>
            <w:tcMar>
              <w:top w:w="60" w:type="dxa"/>
              <w:start w:w="80" w:type="dxa"/>
              <w:bottom w:w="60" w:type="dxa"/>
              <w:end w:w="80" w:type="dxa"/>
            </w:tcMar>
            <w:tcBorders/>
          </w:tcPr>
          <w:p>
            <w:pPr>
              <w:spacing w:after="0"/>
              <w:jc w:val="center"/>
            </w:pPr>
            <w:r>
              <w:rPr>
                <w:rFonts w:ascii="Times New Roman" w:hAnsi="Times New Roman"/>
                <w:i w:val="0"/>
                <w:color w:val="000000"/>
                <w:sz w:val="20"/>
              </w:rPr>
              <w:t>Muhammad Rizky Hajar</w:t>
            </w:r>
            <w:r>
              <w:rPr>
                <w:rFonts w:ascii="Times New Roman" w:hAnsi="Times New Roman"/>
                <w:i w:val="0"/>
                <w:color w:val="000000"/>
                <w:sz w:val="18"/>
              </w:rPr>
              <w:br/>
              <w:t>Department of Computer Science</w:t>
            </w:r>
            <w:r>
              <w:rPr>
                <w:rFonts w:ascii="Times New Roman" w:hAnsi="Times New Roman"/>
                <w:i w:val="0"/>
                <w:color w:val="000000"/>
                <w:sz w:val="18"/>
              </w:rPr>
              <w:br/>
              <w:t>Universitas Amikom Yogyakarta</w:t>
            </w:r>
            <w:r>
              <w:rPr>
                <w:rFonts w:ascii="Times New Roman" w:hAnsi="Times New Roman"/>
                <w:i w:val="0"/>
                <w:color w:val="000000"/>
                <w:sz w:val="18"/>
              </w:rPr>
              <w:br/>
              <w:t>Yogyakarta, Indonesia</w:t>
            </w:r>
            <w:r>
              <w:rPr>
                <w:rFonts w:ascii="Times New Roman" w:hAnsi="Times New Roman"/>
                <w:i/>
                <w:color w:val="000000"/>
                <w:sz w:val="17"/>
              </w:rPr>
              <w:br/>
              <w:t>riskihajar@students.amikom.ac.id</w:t>
            </w:r>
          </w:p>
        </w:tc>
        <w:tc>
          <w:tcPr>
            <w:tcW w:type="dxa" w:w="3420"/>
            <w:tcMar>
              <w:top w:w="60" w:type="dxa"/>
              <w:start w:w="80" w:type="dxa"/>
              <w:bottom w:w="60" w:type="dxa"/>
              <w:end w:w="80" w:type="dxa"/>
            </w:tcMar>
            <w:tcBorders/>
          </w:tcPr>
          <w:p>
            <w:pPr>
              <w:spacing w:after="0"/>
              <w:jc w:val="center"/>
            </w:pPr>
            <w:r>
              <w:rPr>
                <w:rFonts w:ascii="Times New Roman" w:hAnsi="Times New Roman"/>
                <w:i w:val="0"/>
                <w:color w:val="000000"/>
                <w:sz w:val="20"/>
              </w:rPr>
              <w:t>Heri Santosa</w:t>
            </w:r>
            <w:r>
              <w:rPr>
                <w:rFonts w:ascii="Times New Roman" w:hAnsi="Times New Roman"/>
                <w:i w:val="0"/>
                <w:color w:val="000000"/>
                <w:sz w:val="18"/>
              </w:rPr>
              <w:br/>
              <w:t>Department of Computer Science</w:t>
            </w:r>
            <w:r>
              <w:rPr>
                <w:rFonts w:ascii="Times New Roman" w:hAnsi="Times New Roman"/>
                <w:i w:val="0"/>
                <w:color w:val="000000"/>
                <w:sz w:val="18"/>
              </w:rPr>
              <w:br/>
              <w:t>Universitas Amikom Yogyakarta</w:t>
            </w:r>
            <w:r>
              <w:rPr>
                <w:rFonts w:ascii="Times New Roman" w:hAnsi="Times New Roman"/>
                <w:i w:val="0"/>
                <w:color w:val="000000"/>
                <w:sz w:val="18"/>
              </w:rPr>
              <w:br/>
              <w:t>Yogyakarta, Indonesia</w:t>
            </w:r>
            <w:r>
              <w:rPr>
                <w:rFonts w:ascii="Times New Roman" w:hAnsi="Times New Roman"/>
                <w:i/>
                <w:color w:val="000000"/>
                <w:sz w:val="17"/>
              </w:rPr>
              <w:br/>
              <w:t>heri.sant@students.amikom.ac.id</w:t>
            </w:r>
          </w:p>
        </w:tc>
        <w:tc>
          <w:tcPr>
            <w:tcW w:type="dxa" w:w="3420"/>
            <w:tcMar>
              <w:top w:w="60" w:type="dxa"/>
              <w:start w:w="80" w:type="dxa"/>
              <w:bottom w:w="60" w:type="dxa"/>
              <w:end w:w="80" w:type="dxa"/>
            </w:tcMar>
            <w:tcBorders/>
          </w:tcPr>
          <w:p>
            <w:pPr>
              <w:spacing w:after="0"/>
              <w:jc w:val="center"/>
            </w:pPr>
            <w:r>
              <w:rPr>
                <w:rFonts w:ascii="Times New Roman" w:hAnsi="Times New Roman"/>
                <w:i w:val="0"/>
                <w:color w:val="000000"/>
                <w:sz w:val="20"/>
              </w:rPr>
              <w:t>Alwie Muflich</w:t>
            </w:r>
            <w:r>
              <w:rPr>
                <w:rFonts w:ascii="Times New Roman" w:hAnsi="Times New Roman"/>
                <w:i w:val="0"/>
                <w:color w:val="000000"/>
                <w:sz w:val="18"/>
              </w:rPr>
              <w:br/>
              <w:t>Department of Computer Science</w:t>
            </w:r>
            <w:r>
              <w:rPr>
                <w:rFonts w:ascii="Times New Roman" w:hAnsi="Times New Roman"/>
                <w:i w:val="0"/>
                <w:color w:val="000000"/>
                <w:sz w:val="18"/>
              </w:rPr>
              <w:br/>
              <w:t>Universitas Amikom Yogyakarta</w:t>
            </w:r>
            <w:r>
              <w:rPr>
                <w:rFonts w:ascii="Times New Roman" w:hAnsi="Times New Roman"/>
                <w:i w:val="0"/>
                <w:color w:val="000000"/>
                <w:sz w:val="18"/>
              </w:rPr>
              <w:br/>
              <w:t>Yogyakarta, Indonesia</w:t>
            </w:r>
            <w:r>
              <w:rPr>
                <w:rFonts w:ascii="Times New Roman" w:hAnsi="Times New Roman"/>
                <w:i/>
                <w:color w:val="000000"/>
                <w:sz w:val="17"/>
              </w:rPr>
              <w:br/>
              <w:t>alwiemuflich@students.amikom.ac.id</w:t>
            </w:r>
          </w:p>
        </w:tc>
      </w:tr>
      <w:tr>
        <w:tc>
          <w:tcPr>
            <w:tcW w:type="dxa" w:w="3420"/>
            <w:tcMar>
              <w:top w:w="60" w:type="dxa"/>
              <w:start w:w="80" w:type="dxa"/>
              <w:bottom w:w="60" w:type="dxa"/>
              <w:end w:w="80" w:type="dxa"/>
            </w:tcMar>
            <w:tcBorders/>
          </w:tcPr>
          <w:p>
            <w:pPr>
              <w:spacing w:after="0"/>
              <w:jc w:val="center"/>
            </w:pPr>
            <w:r>
              <w:rPr>
                <w:rFonts w:ascii="Times New Roman" w:hAnsi="Times New Roman"/>
                <w:i w:val="0"/>
                <w:color w:val="000000"/>
                <w:sz w:val="20"/>
              </w:rPr>
              <w:t>Andi Sunyoto</w:t>
            </w:r>
            <w:r>
              <w:rPr>
                <w:rFonts w:ascii="Times New Roman" w:hAnsi="Times New Roman"/>
                <w:i w:val="0"/>
                <w:color w:val="000000"/>
                <w:sz w:val="18"/>
              </w:rPr>
              <w:br/>
              <w:t>Department of Computer Science</w:t>
            </w:r>
            <w:r>
              <w:rPr>
                <w:rFonts w:ascii="Times New Roman" w:hAnsi="Times New Roman"/>
                <w:i w:val="0"/>
                <w:color w:val="000000"/>
                <w:sz w:val="18"/>
              </w:rPr>
              <w:br/>
              <w:t>Universitas Amikom Yogyakarta</w:t>
            </w:r>
            <w:r>
              <w:rPr>
                <w:rFonts w:ascii="Times New Roman" w:hAnsi="Times New Roman"/>
                <w:i w:val="0"/>
                <w:color w:val="000000"/>
                <w:sz w:val="18"/>
              </w:rPr>
              <w:br/>
              <w:t>Yogyakarta, Indonesia</w:t>
            </w:r>
            <w:r>
              <w:rPr>
                <w:rFonts w:ascii="Times New Roman" w:hAnsi="Times New Roman"/>
                <w:i/>
                <w:color w:val="000000"/>
                <w:sz w:val="17"/>
              </w:rPr>
              <w:br/>
              <w:t>andi@amikom.ac.id</w:t>
            </w:r>
          </w:p>
        </w:tc>
        <w:tc>
          <w:tcPr>
            <w:tcW w:type="dxa" w:w="3420"/>
            <w:tcMar>
              <w:top w:w="60" w:type="dxa"/>
              <w:start w:w="80" w:type="dxa"/>
              <w:bottom w:w="60" w:type="dxa"/>
              <w:end w:w="80" w:type="dxa"/>
            </w:tcMar>
            <w:tcBorders/>
          </w:tcPr>
          <w:p>
            <w:pPr>
              <w:spacing w:after="0"/>
              <w:jc w:val="center"/>
            </w:pPr>
            <w:r>
              <w:rPr>
                <w:rFonts w:ascii="Times New Roman" w:hAnsi="Times New Roman"/>
                <w:i w:val="0"/>
                <w:color w:val="000000"/>
                <w:sz w:val="20"/>
              </w:rPr>
              <w:t>Robert Marco</w:t>
            </w:r>
            <w:r>
              <w:rPr>
                <w:rFonts w:ascii="Times New Roman" w:hAnsi="Times New Roman"/>
                <w:i w:val="0"/>
                <w:color w:val="000000"/>
                <w:sz w:val="18"/>
              </w:rPr>
              <w:br/>
              <w:t>Department of Computer Science</w:t>
            </w:r>
            <w:r>
              <w:rPr>
                <w:rFonts w:ascii="Times New Roman" w:hAnsi="Times New Roman"/>
                <w:i w:val="0"/>
                <w:color w:val="000000"/>
                <w:sz w:val="18"/>
              </w:rPr>
              <w:br/>
              <w:t>Universitas Amikom Yogyakarta</w:t>
            </w:r>
            <w:r>
              <w:rPr>
                <w:rFonts w:ascii="Times New Roman" w:hAnsi="Times New Roman"/>
                <w:i w:val="0"/>
                <w:color w:val="000000"/>
                <w:sz w:val="18"/>
              </w:rPr>
              <w:br/>
              <w:t>Yogyakarta, Indonesia</w:t>
            </w:r>
            <w:r>
              <w:rPr>
                <w:rFonts w:ascii="Times New Roman" w:hAnsi="Times New Roman"/>
                <w:i/>
                <w:color w:val="000000"/>
                <w:sz w:val="17"/>
              </w:rPr>
              <w:br/>
              <w:t>robert.marco@amikom.ac.id</w:t>
            </w:r>
          </w:p>
        </w:tc>
        <w:tc>
          <w:tcPr>
            <w:tcW w:type="dxa" w:w="3420"/>
            <w:tcMar>
              <w:top w:w="60" w:type="dxa"/>
              <w:start w:w="80" w:type="dxa"/>
              <w:bottom w:w="60" w:type="dxa"/>
              <w:end w:w="80" w:type="dxa"/>
            </w:tcMar>
            <w:tcBorders/>
          </w:tcPr>
          <w:p>
            <w:r/>
          </w:p>
        </w:tc>
      </w:tr>
    </w:tbl>
    <w:p>
      <w:pPr>
        <w:sectPr>
          <w:pgSz w:w="12240" w:h="15840"/>
          <w:pgMar w:top="1080" w:right="900" w:bottom="1440" w:left="900" w:header="432" w:footer="432" w:gutter="0"/>
          <w:cols w:space="360" w:num="1" w:equalWidth="1"/>
          <w:docGrid w:linePitch="360"/>
        </w:sectPr>
      </w:pPr>
    </w:p>
    <w:p>
      <w:pPr>
        <w:spacing w:after="80"/>
        <w:jc w:val="both"/>
      </w:pPr>
      <w:r>
        <w:rPr>
          <w:rFonts w:ascii="Times New Roman" w:hAnsi="Times New Roman"/>
          <w:b/>
          <w:i/>
          <w:color w:val="000000"/>
          <w:sz w:val="18"/>
        </w:rPr>
        <w:t xml:space="preserve">Abstract. </w:t>
      </w:r>
      <w:r>
        <w:rPr>
          <w:rFonts w:ascii="Times New Roman" w:hAnsi="Times New Roman"/>
          <w:b w:val="0"/>
          <w:i w:val="0"/>
          <w:color w:val="000000"/>
          <w:sz w:val="18"/>
        </w:rPr>
        <w:t xml:space="preserve">Hasil akhir mata kuliah memberi informasi penting bagi monitoring akademik dan perencanaan intervensi dini. Penelitian ini mengembangkan early warning risiko ketidakberhasilan mahasiswa dalam mata kuliah pada akhir minggu keempat menggunakan Open University Learning Analytics Dataset (OULAD). Setiap baris merepresentasikan satu mahasiswa pada satu module-presentation. Target dirumuskan sebagai klasifikasi biner, yaitu </w:t>
      </w:r>
      <w:r>
        <w:rPr>
          <w:rFonts w:ascii="Times New Roman" w:hAnsi="Times New Roman"/>
          <w:b w:val="0"/>
          <w:i/>
          <w:color w:val="000000"/>
          <w:sz w:val="18"/>
        </w:rPr>
        <w:t>AtRisk</w:t>
      </w:r>
      <w:r>
        <w:rPr>
          <w:rFonts w:ascii="Times New Roman" w:hAnsi="Times New Roman"/>
          <w:b w:val="0"/>
          <w:i w:val="0"/>
          <w:color w:val="000000"/>
          <w:sz w:val="18"/>
        </w:rPr>
        <w:t xml:space="preserve"> untuk hasil akhir mata kuliah </w:t>
      </w:r>
      <w:r>
        <w:rPr>
          <w:rFonts w:ascii="Times New Roman" w:hAnsi="Times New Roman"/>
          <w:b w:val="0"/>
          <w:i/>
          <w:color w:val="000000"/>
          <w:sz w:val="18"/>
        </w:rPr>
        <w:t>Withdrawn</w:t>
      </w:r>
      <w:r>
        <w:rPr>
          <w:rFonts w:ascii="Times New Roman" w:hAnsi="Times New Roman"/>
          <w:b w:val="0"/>
          <w:i w:val="0"/>
          <w:color w:val="000000"/>
          <w:sz w:val="18"/>
        </w:rPr>
        <w:t xml:space="preserve"> dan </w:t>
      </w:r>
      <w:r>
        <w:rPr>
          <w:rFonts w:ascii="Times New Roman" w:hAnsi="Times New Roman"/>
          <w:b w:val="0"/>
          <w:i/>
          <w:color w:val="000000"/>
          <w:sz w:val="18"/>
        </w:rPr>
        <w:t>Fail</w:t>
      </w:r>
      <w:r>
        <w:rPr>
          <w:rFonts w:ascii="Times New Roman" w:hAnsi="Times New Roman"/>
          <w:b w:val="0"/>
          <w:i w:val="0"/>
          <w:color w:val="000000"/>
          <w:sz w:val="18"/>
        </w:rPr>
        <w:t xml:space="preserve">, serta </w:t>
      </w:r>
      <w:r>
        <w:rPr>
          <w:rFonts w:ascii="Times New Roman" w:hAnsi="Times New Roman"/>
          <w:b w:val="0"/>
          <w:i/>
          <w:color w:val="000000"/>
          <w:sz w:val="18"/>
        </w:rPr>
        <w:t>Successful</w:t>
      </w:r>
      <w:r>
        <w:rPr>
          <w:rFonts w:ascii="Times New Roman" w:hAnsi="Times New Roman"/>
          <w:b w:val="0"/>
          <w:i w:val="0"/>
          <w:color w:val="000000"/>
          <w:sz w:val="18"/>
        </w:rPr>
        <w:t xml:space="preserve"> untuk </w:t>
      </w:r>
      <w:r>
        <w:rPr>
          <w:rFonts w:ascii="Times New Roman" w:hAnsi="Times New Roman"/>
          <w:b w:val="0"/>
          <w:i/>
          <w:color w:val="000000"/>
          <w:sz w:val="18"/>
        </w:rPr>
        <w:t>Pass</w:t>
      </w:r>
      <w:r>
        <w:rPr>
          <w:rFonts w:ascii="Times New Roman" w:hAnsi="Times New Roman"/>
          <w:b w:val="0"/>
          <w:i w:val="0"/>
          <w:color w:val="000000"/>
          <w:sz w:val="18"/>
        </w:rPr>
        <w:t xml:space="preserve"> dan </w:t>
      </w:r>
      <w:r>
        <w:rPr>
          <w:rFonts w:ascii="Times New Roman" w:hAnsi="Times New Roman"/>
          <w:b w:val="0"/>
          <w:i/>
          <w:color w:val="000000"/>
          <w:sz w:val="18"/>
        </w:rPr>
        <w:t>Distinction</w:t>
      </w:r>
      <w:r>
        <w:rPr>
          <w:rFonts w:ascii="Times New Roman" w:hAnsi="Times New Roman"/>
          <w:b w:val="0"/>
          <w:i w:val="0"/>
          <w:color w:val="000000"/>
          <w:sz w:val="18"/>
        </w:rPr>
        <w:t xml:space="preserve">. Fitur prediktor dibentuk dari data demografis, registrasi awal, assessment, dan aktivitas Virtual Learning Environment yang tersedia sampai hari ke-28. Evaluasi membandingkan Logistic Regression, Random Forest, dan XGBoost melalui hold-out test berbasis kelompok mahasiswa dan 5-fold GroupKFold. Random Forest dipilih berdasarkan recall </w:t>
      </w:r>
      <w:r>
        <w:rPr>
          <w:rFonts w:ascii="Times New Roman" w:hAnsi="Times New Roman"/>
          <w:b w:val="0"/>
          <w:i/>
          <w:color w:val="000000"/>
          <w:sz w:val="18"/>
        </w:rPr>
        <w:t>AtRisk</w:t>
      </w:r>
      <w:r>
        <w:rPr>
          <w:rFonts w:ascii="Times New Roman" w:hAnsi="Times New Roman"/>
          <w:b w:val="0"/>
          <w:i w:val="0"/>
          <w:color w:val="000000"/>
          <w:sz w:val="18"/>
        </w:rPr>
        <w:t xml:space="preserve"> cross-validation tertinggi sebesar 0,7107. Pada hold-out test, model tersebut menghasilkan accuracy 0,7594, precision 0,8007, recall 0,7213, F1-score 0,7589, dan ROC-AUC 0,8396. Knowledge-based risk layer menggabungkan prediksi model dengan empat indikator perilaku awal untuk menghasilkan level </w:t>
      </w:r>
      <w:r>
        <w:rPr>
          <w:rFonts w:ascii="Times New Roman" w:hAnsi="Times New Roman"/>
          <w:b w:val="0"/>
          <w:i/>
          <w:color w:val="000000"/>
          <w:sz w:val="18"/>
        </w:rPr>
        <w:t>High Risk</w:t>
      </w:r>
      <w:r>
        <w:rPr>
          <w:rFonts w:ascii="Times New Roman" w:hAnsi="Times New Roman"/>
          <w:b w:val="0"/>
          <w:i w:val="0"/>
          <w:color w:val="000000"/>
          <w:sz w:val="18"/>
        </w:rPr>
        <w:t xml:space="preserve">, </w:t>
      </w:r>
      <w:r>
        <w:rPr>
          <w:rFonts w:ascii="Times New Roman" w:hAnsi="Times New Roman"/>
          <w:b w:val="0"/>
          <w:i/>
          <w:color w:val="000000"/>
          <w:sz w:val="18"/>
        </w:rPr>
        <w:t>Medium Risk</w:t>
      </w:r>
      <w:r>
        <w:rPr>
          <w:rFonts w:ascii="Times New Roman" w:hAnsi="Times New Roman"/>
          <w:b w:val="0"/>
          <w:i w:val="0"/>
          <w:color w:val="000000"/>
          <w:sz w:val="18"/>
        </w:rPr>
        <w:t xml:space="preserve">, dan </w:t>
      </w:r>
      <w:r>
        <w:rPr>
          <w:rFonts w:ascii="Times New Roman" w:hAnsi="Times New Roman"/>
          <w:b w:val="0"/>
          <w:i/>
          <w:color w:val="000000"/>
          <w:sz w:val="18"/>
        </w:rPr>
        <w:t>Low Risk</w:t>
      </w:r>
      <w:r>
        <w:rPr>
          <w:rFonts w:ascii="Times New Roman" w:hAnsi="Times New Roman"/>
          <w:b w:val="0"/>
          <w:i w:val="0"/>
          <w:color w:val="000000"/>
          <w:sz w:val="18"/>
        </w:rPr>
        <w:t xml:space="preserve"> beserta alasan dan rekomendasi intervensi. Sistem gabungan meningkatkan recall menjadi 0,7866 dengan precision 0,7043. Hasil analitik disajikan melalui dashboard statis yang memuat indikator risiko, prioritas module-presentation, sinyal dominan, dan daftar mahasiswa untuk mendukung monitoring akademik. Pendekatan ini menyediakan integrasi prediksi, interpretasi berbasis aturan, dan visual decision support untuk intervensi dini pada tingkat mata kuliah.</w:t>
      </w:r>
    </w:p>
    <w:p>
      <w:pPr>
        <w:spacing w:after="100"/>
        <w:jc w:val="both"/>
      </w:pPr>
      <w:r>
        <w:rPr>
          <w:rFonts w:ascii="Times New Roman" w:hAnsi="Times New Roman"/>
          <w:b/>
          <w:i/>
          <w:color w:val="000000"/>
          <w:sz w:val="18"/>
        </w:rPr>
        <w:t xml:space="preserve">Keywords. </w:t>
      </w:r>
      <w:r>
        <w:rPr>
          <w:rFonts w:ascii="Times New Roman" w:hAnsi="Times New Roman"/>
          <w:b w:val="0"/>
          <w:i w:val="0"/>
          <w:color w:val="000000"/>
          <w:sz w:val="18"/>
        </w:rPr>
        <w:t>academic risk prediction, course withdrawal, course failure, supervised learning, OULAD, early warning system</w:t>
      </w:r>
    </w:p>
    <w:p>
      <w:pPr>
        <w:pStyle w:val="Heading1"/>
        <w:keepNext/>
        <w:spacing w:before="120" w:after="60"/>
        <w:jc w:val="center"/>
      </w:pPr>
      <w:r>
        <w:rPr>
          <w:rFonts w:ascii="Times New Roman" w:hAnsi="Times New Roman"/>
          <w:b w:val="0"/>
          <w:color w:val="000000"/>
          <w:sz w:val="20"/>
        </w:rPr>
        <w:t>I. INTRODUCTION</w:t>
      </w:r>
    </w:p>
    <w:p>
      <w:pPr>
        <w:spacing w:before="0" w:after="20" w:line="240" w:lineRule="auto"/>
        <w:ind w:firstLine="259"/>
        <w:jc w:val="both"/>
      </w:pPr>
      <w:r>
        <w:rPr>
          <w:rFonts w:ascii="Times New Roman" w:hAnsi="Times New Roman"/>
          <w:b w:val="0"/>
          <w:i w:val="0"/>
          <w:color w:val="000000"/>
          <w:sz w:val="20"/>
        </w:rPr>
        <w:t>Kegagalan dan pengunduran diri dari mata kuliah menjadi perhatian dalam pendidikan tinggi karena berkaitan dengan capaian belajar, kualitas layanan akademik, dan efektivitas pengambilan keputusan institusional. Penelitian sebelumnya menunjukkan bahwa machine learning dapat memprediksi retensi mahasiswa menggunakan karakteristik sosiodemografis dan metrik engagement [1]. Early warning system memperluas manfaat prediksi dengan menempatkan identifikasi risiko pada periode ketika intervensi akademik masih dapat dilakukan [2]. Ketersediaan informasi risiko pada minggu-minggu awal memberi ruang bagi dosen, tutor, dan pengelola program studi untuk merancang tindak lanjut yang relevan.</w:t>
      </w:r>
    </w:p>
    <w:p>
      <w:pPr>
        <w:spacing w:before="0" w:after="20" w:line="240" w:lineRule="auto"/>
        <w:ind w:firstLine="259"/>
        <w:jc w:val="both"/>
      </w:pPr>
      <w:r>
        <w:rPr>
          <w:rFonts w:ascii="Times New Roman" w:hAnsi="Times New Roman"/>
          <w:b w:val="0"/>
          <w:i w:val="0"/>
          <w:color w:val="000000"/>
          <w:sz w:val="20"/>
        </w:rPr>
        <w:t>Sistem pembelajaran digital menghasilkan data akademik dan jejak aktivitas yang dapat digunakan untuk membaca engagement mahasiswa. Data tersebut mencakup interaksi dengan Virtual Learning Environment (VLE), partisipasi assessment, performa penilaian, dan informasi registrasi awal. Studi mengenai digital traces memperlihatkan bahwa pola aktivitas Learning Management System dapat membantu memahami variasi performa dan risiko mahasiswa [3]. Open University Learning Analytics Dataset (OULAD) menyediakan data tersebut dalam struktur relasional yang mencakup profil mahasiswa, assessment, registrasi, dan lebih dari sepuluh juta catatan aktivitas VLE [4].</w:t>
      </w:r>
    </w:p>
    <w:p>
      <w:pPr>
        <w:spacing w:before="0" w:after="20" w:line="240" w:lineRule="auto"/>
        <w:ind w:firstLine="259"/>
        <w:jc w:val="both"/>
      </w:pPr>
      <w:r>
        <w:rPr>
          <w:rFonts w:ascii="Times New Roman" w:hAnsi="Times New Roman"/>
          <w:b w:val="0"/>
          <w:i w:val="0"/>
          <w:color w:val="000000"/>
          <w:sz w:val="20"/>
        </w:rPr>
        <w:t>Nilai prediktif suatu model bergantung pada kesesuaian data dengan waktu keputusan. Penggunaan aktivitas seluruh semester atau status unregistration menghasilkan informasi yang kuat untuk klasifikasi retrospektif, sedangkan early warning memerlukan fitur yang telah tersedia pada waktu prediksi. Penelitian ini menggunakan cut-off hari ke-28 untuk merepresentasikan akhir minggu keempat. Assessment dan aktivitas VLE setelah cut-off dikeluarkan dari fitur, sedangkan status unregistration diperlakukan sebagai informasi masa depan. Pembatasan temporal tersebut menghasilkan estimasi performa yang lebih dekat dengan kondisi intervensi dini.</w:t>
      </w:r>
    </w:p>
    <w:p>
      <w:pPr>
        <w:spacing w:before="0" w:after="20" w:line="240" w:lineRule="auto"/>
        <w:ind w:firstLine="259"/>
        <w:jc w:val="both"/>
      </w:pPr>
      <w:r>
        <w:rPr>
          <w:rFonts w:ascii="Times New Roman" w:hAnsi="Times New Roman"/>
          <w:b w:val="0"/>
          <w:i w:val="0"/>
          <w:color w:val="000000"/>
          <w:sz w:val="20"/>
        </w:rPr>
        <w:t>Literatur menunjukkan bahwa kemampuan mendeteksi mahasiswa berisiko perlu dihubungkan dengan proses tindak lanjut agar memberi dampak institusional [2]. Model machine learning menghasilkan kelas dan probabilitas, sedangkan pemangku kepentingan memerlukan alasan risiko, prioritas, dan rekomendasi yang dapat dibaca secara operasional. Kebutuhan tersebut membentuk research gap pada integrasi antara evaluasi model, interpretasi berbasis aturan, dan penyajian visual untuk decision support.</w:t>
      </w:r>
    </w:p>
    <w:p>
      <w:pPr>
        <w:spacing w:before="0" w:after="20" w:line="240" w:lineRule="auto"/>
        <w:ind w:firstLine="259"/>
        <w:jc w:val="both"/>
      </w:pPr>
      <w:r>
        <w:rPr>
          <w:rFonts w:ascii="Times New Roman" w:hAnsi="Times New Roman"/>
          <w:b w:val="0"/>
          <w:i w:val="0"/>
          <w:color w:val="000000"/>
          <w:sz w:val="20"/>
        </w:rPr>
        <w:t>Penelitian ini bertujuan mengembangkan klasifikasi biner risiko ketidakberhasilan mahasiswa dalam mata kuliah pada minggu keempat, mengevaluasi tiga algoritma supervised learning, dan mengintegrasikan model terpilih dengan knowledge-based risk layer. Hasil sistem diterjemahkan menjadi dashboard Business Intelligence untuk monitoring risiko dan prioritas intervensi akademik pada tingkat module-presentation.</w:t>
      </w:r>
    </w:p>
    <w:p>
      <w:pPr>
        <w:spacing w:before="0" w:after="20" w:line="240" w:lineRule="auto"/>
        <w:ind w:firstLine="259"/>
        <w:jc w:val="both"/>
      </w:pPr>
      <w:r>
        <w:rPr>
          <w:rFonts w:ascii="Times New Roman" w:hAnsi="Times New Roman"/>
          <w:b w:val="0"/>
          <w:i w:val="0"/>
          <w:color w:val="000000"/>
          <w:sz w:val="20"/>
        </w:rPr>
        <w:t xml:space="preserve">Kontribusi penelitian terdiri atas empat bagian. Pertama, penelitian membentuk dataset early warning pada unit student-module-presentation dengan cut-off hari ke-28. Kedua, evaluasi menggunakan pemisahan berbasis </w:t>
      </w:r>
      <w:r>
        <w:rPr>
          <w:rFonts w:ascii="Times New Roman" w:hAnsi="Times New Roman"/>
          <w:b w:val="0"/>
          <w:i/>
          <w:color w:val="000000"/>
          <w:sz w:val="20"/>
        </w:rPr>
        <w:t>id_student</w:t>
      </w:r>
      <w:r>
        <w:rPr>
          <w:rFonts w:ascii="Times New Roman" w:hAnsi="Times New Roman"/>
          <w:b w:val="0"/>
          <w:i w:val="0"/>
          <w:color w:val="000000"/>
          <w:sz w:val="20"/>
        </w:rPr>
        <w:t xml:space="preserve"> untuk menjaga independensi mahasiswa antara data pelatihan dan pengujian. Ketiga, knowledge-based risk layer menghasilkan level, alasan risiko, dan rekomendasi berdasarkan prediksi model serta perilaku awal. Keempat, dashboard mengubah keluaran analitik menjadi indikator yang mendukung keputusan pimpinan akademik, program studi, tutor, dosen wali, dan tim konseling.</w:t>
      </w:r>
    </w:p>
    <w:p>
      <w:pPr>
        <w:pStyle w:val="Heading1"/>
        <w:keepNext/>
        <w:spacing w:before="120" w:after="60"/>
        <w:jc w:val="center"/>
      </w:pPr>
      <w:r>
        <w:rPr>
          <w:rFonts w:ascii="Times New Roman" w:hAnsi="Times New Roman"/>
          <w:b w:val="0"/>
          <w:color w:val="000000"/>
          <w:sz w:val="20"/>
        </w:rPr>
        <w:t>II. RELATED WORKS</w:t>
      </w:r>
    </w:p>
    <w:p>
      <w:pPr>
        <w:spacing w:before="0" w:after="20" w:line="240" w:lineRule="auto"/>
        <w:ind w:firstLine="259"/>
        <w:jc w:val="both"/>
      </w:pPr>
      <w:r>
        <w:rPr>
          <w:rFonts w:ascii="Times New Roman" w:hAnsi="Times New Roman"/>
          <w:b w:val="0"/>
          <w:i w:val="0"/>
          <w:color w:val="000000"/>
          <w:sz w:val="20"/>
        </w:rPr>
        <w:t>Penelitian student dropout dan academic performance analytics memanfaatkan data akademik, sosiodemografis, dan aktivitas digital untuk memprediksi keberlanjutan studi serta hasil pembelajaran. Informasi awal seperti karakteristik sosiodemografis, riwayat akademik, dan engagement digital memiliki nilai prediktif terhadap retensi mahasiswa [1]. Pada OULAD, ruang lingkup target berada pada hasil akhir mata kuliah untuk setiap student-module-presentation.</w:t>
      </w:r>
    </w:p>
    <w:p>
      <w:pPr>
        <w:spacing w:before="0" w:after="20" w:line="240" w:lineRule="auto"/>
        <w:ind w:firstLine="259"/>
        <w:jc w:val="both"/>
      </w:pPr>
      <w:r>
        <w:rPr>
          <w:rFonts w:ascii="Times New Roman" w:hAnsi="Times New Roman"/>
          <w:b w:val="0"/>
          <w:i w:val="0"/>
          <w:color w:val="000000"/>
          <w:sz w:val="20"/>
        </w:rPr>
        <w:t xml:space="preserve">Early warning system mengarahkan hasil prediksi pada proses intervensi. Plak et al. menunjukkan bahwa informasi risiko perlu disertai rancangan tindak lanjut agar dapat memengaruhi hasil akademik [2]. Shou et al. menggunakan OULAD untuk memprediksi performa mahasiswa melalui multidimensional time-series yang menggabungkan learning behavior, assessment score, dan informasi demografis. Pada 20% durasi course, model MTAPSP harian mencapai accuracy 0,9179 dan F1-score 0,9180 untuk target biner </w:t>
      </w:r>
      <w:r>
        <w:rPr>
          <w:rFonts w:ascii="Times New Roman" w:hAnsi="Times New Roman"/>
          <w:b w:val="0"/>
          <w:i/>
          <w:color w:val="000000"/>
          <w:sz w:val="20"/>
        </w:rPr>
        <w:t>Pass</w:t>
      </w:r>
      <w:r>
        <w:rPr>
          <w:rFonts w:ascii="Times New Roman" w:hAnsi="Times New Roman"/>
          <w:b w:val="0"/>
          <w:i w:val="0"/>
          <w:color w:val="000000"/>
          <w:sz w:val="20"/>
        </w:rPr>
        <w:t xml:space="preserve"> serta </w:t>
      </w:r>
      <w:r>
        <w:rPr>
          <w:rFonts w:ascii="Times New Roman" w:hAnsi="Times New Roman"/>
          <w:b w:val="0"/>
          <w:i/>
          <w:color w:val="000000"/>
          <w:sz w:val="20"/>
        </w:rPr>
        <w:t>Distinction</w:t>
      </w:r>
      <w:r>
        <w:rPr>
          <w:rFonts w:ascii="Times New Roman" w:hAnsi="Times New Roman"/>
          <w:b w:val="0"/>
          <w:i w:val="0"/>
          <w:color w:val="000000"/>
          <w:sz w:val="20"/>
        </w:rPr>
        <w:t xml:space="preserve"> terhadap </w:t>
      </w:r>
      <w:r>
        <w:rPr>
          <w:rFonts w:ascii="Times New Roman" w:hAnsi="Times New Roman"/>
          <w:b w:val="0"/>
          <w:i/>
          <w:color w:val="000000"/>
          <w:sz w:val="20"/>
        </w:rPr>
        <w:t>Fail</w:t>
      </w:r>
      <w:r>
        <w:rPr>
          <w:rFonts w:ascii="Times New Roman" w:hAnsi="Times New Roman"/>
          <w:b w:val="0"/>
          <w:i w:val="0"/>
          <w:color w:val="000000"/>
          <w:sz w:val="20"/>
        </w:rPr>
        <w:t xml:space="preserve"> serta </w:t>
      </w:r>
      <w:r>
        <w:rPr>
          <w:rFonts w:ascii="Times New Roman" w:hAnsi="Times New Roman"/>
          <w:b w:val="0"/>
          <w:i/>
          <w:color w:val="000000"/>
          <w:sz w:val="20"/>
        </w:rPr>
        <w:t>Withdrawn</w:t>
      </w:r>
      <w:r>
        <w:rPr>
          <w:rFonts w:ascii="Times New Roman" w:hAnsi="Times New Roman"/>
          <w:b w:val="0"/>
          <w:i w:val="0"/>
          <w:color w:val="000000"/>
          <w:sz w:val="20"/>
        </w:rPr>
        <w:t xml:space="preserve"> [5]. Temuan tersebut menegaskan bahwa horizon pengamatan menjadi bagian penting dalam membaca performa early warning.</w:t>
      </w:r>
    </w:p>
    <w:p>
      <w:pPr>
        <w:spacing w:before="0" w:after="20" w:line="240" w:lineRule="auto"/>
        <w:ind w:firstLine="259"/>
        <w:jc w:val="both"/>
      </w:pPr>
      <w:r>
        <w:rPr>
          <w:rFonts w:ascii="Times New Roman" w:hAnsi="Times New Roman"/>
          <w:b w:val="0"/>
          <w:i w:val="0"/>
          <w:color w:val="000000"/>
          <w:sz w:val="20"/>
        </w:rPr>
        <w:t>Penelitian berbasis OULAD terus berkembang melalui kombinasi fitur assessment, aktivitas VLE, dan profil mahasiswa. Jawad et al. menerapkan Random Forest dengan SMOTE dan memperoleh testing accuracy 0,892 pada skenario 260 hari [6]. Balabied dan Eid melaporkan accuracy serta F1-score 0,90 menggunakan Random Forest [7]. Ujkani et al. memperoleh accuracy 0,93 menggunakan custom neural network [8], sedangkan KANFormer dari Alnasyan et al. mencapai accuracy 0,9459 dan F1-score 0,9481 [9]. Shou et al. [5], Ujkani et al. [8], dan Alnasyan et al. [9] memakai definisi target yang sebanding. Perbedaan horizon, split, balancing, dan arsitektur model tetap menentukan konteks perbandingan.</w:t>
      </w:r>
    </w:p>
    <w:p>
      <w:pPr>
        <w:spacing w:before="0" w:after="20" w:line="240" w:lineRule="auto"/>
        <w:ind w:firstLine="259"/>
        <w:jc w:val="both"/>
      </w:pPr>
      <w:r>
        <w:rPr>
          <w:rFonts w:ascii="Times New Roman" w:hAnsi="Times New Roman"/>
          <w:b w:val="0"/>
          <w:i w:val="0"/>
          <w:color w:val="000000"/>
          <w:sz w:val="20"/>
        </w:rPr>
        <w:t>Pendekatan hybrid mengintegrasikan beberapa sumber data untuk identifikasi mahasiswa berisiko [10]. Penelitian lain mencakup early warning berbasis XGBoost [11], AutoML [12], precision education [13], phased prediction [14], pola penggunaan LMS [15], dan analisis lintas institusi [16]. Keragaman tersebut menunjukkan bahwa fitur, horizon waktu, dan konteks institusi menentukan interpretasi performa model.</w:t>
      </w:r>
    </w:p>
    <w:p>
      <w:pPr>
        <w:spacing w:before="0" w:after="20" w:line="240" w:lineRule="auto"/>
        <w:ind w:firstLine="259"/>
        <w:jc w:val="both"/>
      </w:pPr>
      <w:r>
        <w:rPr>
          <w:rFonts w:ascii="Times New Roman" w:hAnsi="Times New Roman"/>
          <w:b w:val="0"/>
          <w:i w:val="0"/>
          <w:color w:val="000000"/>
          <w:sz w:val="20"/>
        </w:rPr>
        <w:t>Penelitian ini mengambil posisi pada integrasi tiga komponen. Supervised learning digunakan untuk menghasilkan probabilitas risiko, knowledge-based risk layer menerjemahkan probabilitas dan sinyal perilaku menjadi alasan serta level prioritas, dan dashboard menyajikan hasil sebagai visual decision support. Cut-off minggu keempat menjaga kesesuaian temporal antara fitur dan waktu intervensi. Integrasi tersebut menghubungkan evaluasi teknis dengan kebutuhan monitoring akademik yang dapat ditindaklanjuti.</w:t>
      </w:r>
    </w:p>
    <w:p>
      <w:pPr>
        <w:pStyle w:val="Heading1"/>
        <w:keepNext/>
        <w:spacing w:before="120" w:after="60"/>
        <w:jc w:val="center"/>
      </w:pPr>
      <w:r>
        <w:rPr>
          <w:rFonts w:ascii="Times New Roman" w:hAnsi="Times New Roman"/>
          <w:b w:val="0"/>
          <w:color w:val="000000"/>
          <w:sz w:val="20"/>
        </w:rPr>
        <w:t>III. METHODOLOGY</w:t>
      </w:r>
    </w:p>
    <w:p>
      <w:pPr>
        <w:pStyle w:val="Heading2"/>
        <w:keepNext/>
        <w:spacing w:before="80" w:after="20"/>
        <w:jc w:val="left"/>
      </w:pPr>
      <w:r>
        <w:rPr>
          <w:rFonts w:ascii="Times New Roman" w:hAnsi="Times New Roman"/>
          <w:i/>
          <w:color w:val="000000"/>
          <w:sz w:val="20"/>
        </w:rPr>
        <w:t>A. Research Design</w:t>
      </w:r>
    </w:p>
    <w:p>
      <w:pPr>
        <w:spacing w:before="0" w:after="20" w:line="240" w:lineRule="auto"/>
        <w:ind w:firstLine="259"/>
        <w:jc w:val="both"/>
      </w:pPr>
      <w:r>
        <w:rPr>
          <w:rFonts w:ascii="Times New Roman" w:hAnsi="Times New Roman"/>
          <w:b w:val="0"/>
          <w:i w:val="0"/>
          <w:color w:val="000000"/>
          <w:sz w:val="20"/>
        </w:rPr>
        <w:t xml:space="preserve">Penelitian menggunakan supervised binary classification untuk mendeteksi risiko ketidakberhasilan mahasiswa dalam mata kuliah pada akhir minggu keempat. Alurnya mencakup audit OULAD, pembentukan fitur dengan cut-off temporal, exploratory data analysis, pemisahan berbasis mahasiswa, evaluasi model, knowledge-based risk layer, dan dashboard Business Intelligence. Seluruh eksperimen menggunakan </w:t>
      </w:r>
      <w:r>
        <w:rPr>
          <w:rFonts w:ascii="Times New Roman" w:hAnsi="Times New Roman"/>
          <w:b w:val="0"/>
          <w:i/>
          <w:color w:val="000000"/>
          <w:sz w:val="20"/>
        </w:rPr>
        <w:t>random_state=42</w:t>
      </w:r>
      <w:r>
        <w:rPr>
          <w:rFonts w:ascii="Times New Roman" w:hAnsi="Times New Roman"/>
          <w:b w:val="0"/>
          <w:i w:val="0"/>
          <w:color w:val="000000"/>
          <w:sz w:val="20"/>
        </w:rPr>
        <w:t>.</w:t>
      </w:r>
    </w:p>
    <w:p>
      <w:pPr>
        <w:pStyle w:val="Heading2"/>
        <w:keepNext/>
        <w:spacing w:before="80" w:after="20"/>
        <w:jc w:val="left"/>
      </w:pPr>
      <w:r>
        <w:rPr>
          <w:rFonts w:ascii="Times New Roman" w:hAnsi="Times New Roman"/>
          <w:i/>
          <w:color w:val="000000"/>
          <w:sz w:val="20"/>
        </w:rPr>
        <w:t>B. Dataset and Unit of Analysis</w:t>
      </w:r>
    </w:p>
    <w:p>
      <w:pPr>
        <w:spacing w:before="0" w:after="20" w:line="240" w:lineRule="auto"/>
        <w:ind w:firstLine="259"/>
        <w:jc w:val="both"/>
      </w:pPr>
      <w:r>
        <w:rPr>
          <w:rFonts w:ascii="Times New Roman" w:hAnsi="Times New Roman"/>
          <w:b w:val="0"/>
          <w:i w:val="0"/>
          <w:color w:val="000000"/>
          <w:sz w:val="20"/>
        </w:rPr>
        <w:t xml:space="preserve">Open University Learning Analytics Dataset (OULAD) [4] diperoleh melalui UCI Machine Learning Repository. Tabel yang digunakan meliputi </w:t>
      </w:r>
      <w:r>
        <w:rPr>
          <w:rFonts w:ascii="Times New Roman" w:hAnsi="Times New Roman"/>
          <w:b w:val="0"/>
          <w:i/>
          <w:color w:val="000000"/>
          <w:sz w:val="20"/>
        </w:rPr>
        <w:t>studentInfo</w:t>
      </w:r>
      <w:r>
        <w:rPr>
          <w:rFonts w:ascii="Times New Roman" w:hAnsi="Times New Roman"/>
          <w:b w:val="0"/>
          <w:i w:val="0"/>
          <w:color w:val="000000"/>
          <w:sz w:val="20"/>
        </w:rPr>
        <w:t xml:space="preserve">, </w:t>
      </w:r>
      <w:r>
        <w:rPr>
          <w:rFonts w:ascii="Times New Roman" w:hAnsi="Times New Roman"/>
          <w:b w:val="0"/>
          <w:i/>
          <w:color w:val="000000"/>
          <w:sz w:val="20"/>
        </w:rPr>
        <w:t>studentRegistration</w:t>
      </w:r>
      <w:r>
        <w:rPr>
          <w:rFonts w:ascii="Times New Roman" w:hAnsi="Times New Roman"/>
          <w:b w:val="0"/>
          <w:i w:val="0"/>
          <w:color w:val="000000"/>
          <w:sz w:val="20"/>
        </w:rPr>
        <w:t xml:space="preserve">, </w:t>
      </w:r>
      <w:r>
        <w:rPr>
          <w:rFonts w:ascii="Times New Roman" w:hAnsi="Times New Roman"/>
          <w:b w:val="0"/>
          <w:i/>
          <w:color w:val="000000"/>
          <w:sz w:val="20"/>
        </w:rPr>
        <w:t>assessments</w:t>
      </w:r>
      <w:r>
        <w:rPr>
          <w:rFonts w:ascii="Times New Roman" w:hAnsi="Times New Roman"/>
          <w:b w:val="0"/>
          <w:i w:val="0"/>
          <w:color w:val="000000"/>
          <w:sz w:val="20"/>
        </w:rPr>
        <w:t xml:space="preserve">, </w:t>
      </w:r>
      <w:r>
        <w:rPr>
          <w:rFonts w:ascii="Times New Roman" w:hAnsi="Times New Roman"/>
          <w:b w:val="0"/>
          <w:i/>
          <w:color w:val="000000"/>
          <w:sz w:val="20"/>
        </w:rPr>
        <w:t>studentAssessment</w:t>
      </w:r>
      <w:r>
        <w:rPr>
          <w:rFonts w:ascii="Times New Roman" w:hAnsi="Times New Roman"/>
          <w:b w:val="0"/>
          <w:i w:val="0"/>
          <w:color w:val="000000"/>
          <w:sz w:val="20"/>
        </w:rPr>
        <w:t xml:space="preserve">, </w:t>
      </w:r>
      <w:r>
        <w:rPr>
          <w:rFonts w:ascii="Times New Roman" w:hAnsi="Times New Roman"/>
          <w:b w:val="0"/>
          <w:i/>
          <w:color w:val="000000"/>
          <w:sz w:val="20"/>
        </w:rPr>
        <w:t>studentVle</w:t>
      </w:r>
      <w:r>
        <w:rPr>
          <w:rFonts w:ascii="Times New Roman" w:hAnsi="Times New Roman"/>
          <w:b w:val="0"/>
          <w:i w:val="0"/>
          <w:color w:val="000000"/>
          <w:sz w:val="20"/>
        </w:rPr>
        <w:t xml:space="preserve">, </w:t>
      </w:r>
      <w:r>
        <w:rPr>
          <w:rFonts w:ascii="Times New Roman" w:hAnsi="Times New Roman"/>
          <w:b w:val="0"/>
          <w:i/>
          <w:color w:val="000000"/>
          <w:sz w:val="20"/>
        </w:rPr>
        <w:t>courses</w:t>
      </w:r>
      <w:r>
        <w:rPr>
          <w:rFonts w:ascii="Times New Roman" w:hAnsi="Times New Roman"/>
          <w:b w:val="0"/>
          <w:i w:val="0"/>
          <w:color w:val="000000"/>
          <w:sz w:val="20"/>
        </w:rPr>
        <w:t xml:space="preserve">, dan </w:t>
      </w:r>
      <w:r>
        <w:rPr>
          <w:rFonts w:ascii="Times New Roman" w:hAnsi="Times New Roman"/>
          <w:b w:val="0"/>
          <w:i/>
          <w:color w:val="000000"/>
          <w:sz w:val="20"/>
        </w:rPr>
        <w:t>vle</w:t>
      </w:r>
      <w:r>
        <w:rPr>
          <w:rFonts w:ascii="Times New Roman" w:hAnsi="Times New Roman"/>
          <w:b w:val="0"/>
          <w:i w:val="0"/>
          <w:color w:val="000000"/>
          <w:sz w:val="20"/>
        </w:rPr>
        <w:t xml:space="preserve">. </w:t>
      </w:r>
      <w:r>
        <w:rPr>
          <w:rFonts w:ascii="Times New Roman" w:hAnsi="Times New Roman"/>
          <w:b w:val="0"/>
          <w:i/>
          <w:color w:val="000000"/>
          <w:sz w:val="20"/>
        </w:rPr>
        <w:t>studentInfo</w:t>
      </w:r>
      <w:r>
        <w:rPr>
          <w:rFonts w:ascii="Times New Roman" w:hAnsi="Times New Roman"/>
          <w:b w:val="0"/>
          <w:i w:val="0"/>
          <w:color w:val="000000"/>
          <w:sz w:val="20"/>
        </w:rPr>
        <w:t xml:space="preserve"> memuat 32.593 baris dan </w:t>
      </w:r>
      <w:r>
        <w:rPr>
          <w:rFonts w:ascii="Times New Roman" w:hAnsi="Times New Roman"/>
          <w:b w:val="0"/>
          <w:i/>
          <w:color w:val="000000"/>
          <w:sz w:val="20"/>
        </w:rPr>
        <w:t>studentVle</w:t>
      </w:r>
      <w:r>
        <w:rPr>
          <w:rFonts w:ascii="Times New Roman" w:hAnsi="Times New Roman"/>
          <w:b w:val="0"/>
          <w:i w:val="0"/>
          <w:color w:val="000000"/>
          <w:sz w:val="20"/>
        </w:rPr>
        <w:t xml:space="preserve"> memuat 10.655.280 catatan aktivitas.</w:t>
      </w:r>
    </w:p>
    <w:p>
      <w:pPr>
        <w:spacing w:before="0" w:after="20" w:line="240" w:lineRule="auto"/>
        <w:ind w:firstLine="259"/>
        <w:jc w:val="both"/>
      </w:pPr>
      <w:r>
        <w:rPr>
          <w:rFonts w:ascii="Times New Roman" w:hAnsi="Times New Roman"/>
          <w:b w:val="0"/>
          <w:i w:val="0"/>
          <w:color w:val="000000"/>
          <w:sz w:val="20"/>
        </w:rPr>
        <w:t xml:space="preserve">Satu baris hasil preprocessing merepresentasikan seorang mahasiswa pada satu kombinasi </w:t>
      </w:r>
      <w:r>
        <w:rPr>
          <w:rFonts w:ascii="Times New Roman" w:hAnsi="Times New Roman"/>
          <w:b w:val="0"/>
          <w:i/>
          <w:color w:val="000000"/>
          <w:sz w:val="20"/>
        </w:rPr>
        <w:t>code_module</w:t>
      </w:r>
      <w:r>
        <w:rPr>
          <w:rFonts w:ascii="Times New Roman" w:hAnsi="Times New Roman"/>
          <w:b w:val="0"/>
          <w:i w:val="0"/>
          <w:color w:val="000000"/>
          <w:sz w:val="20"/>
        </w:rPr>
        <w:t xml:space="preserve"> dan </w:t>
      </w:r>
      <w:r>
        <w:rPr>
          <w:rFonts w:ascii="Times New Roman" w:hAnsi="Times New Roman"/>
          <w:b w:val="0"/>
          <w:i/>
          <w:color w:val="000000"/>
          <w:sz w:val="20"/>
        </w:rPr>
        <w:t>code_presentation</w:t>
      </w:r>
      <w:r>
        <w:rPr>
          <w:rFonts w:ascii="Times New Roman" w:hAnsi="Times New Roman"/>
          <w:b w:val="0"/>
          <w:i w:val="0"/>
          <w:color w:val="000000"/>
          <w:sz w:val="20"/>
        </w:rPr>
        <w:t xml:space="preserve">. Unit student-module-presentation ini mengikuti struktur label </w:t>
      </w:r>
      <w:r>
        <w:rPr>
          <w:rFonts w:ascii="Times New Roman" w:hAnsi="Times New Roman"/>
          <w:b w:val="0"/>
          <w:i/>
          <w:color w:val="000000"/>
          <w:sz w:val="20"/>
        </w:rPr>
        <w:t>studentInfo</w:t>
      </w:r>
      <w:r>
        <w:rPr>
          <w:rFonts w:ascii="Times New Roman" w:hAnsi="Times New Roman"/>
          <w:b w:val="0"/>
          <w:i w:val="0"/>
          <w:color w:val="000000"/>
          <w:sz w:val="20"/>
        </w:rPr>
        <w:t xml:space="preserve"> dan penggabungan data registrasi, assessment, serta VLE.</w:t>
      </w:r>
    </w:p>
    <w:p>
      <w:pPr>
        <w:pStyle w:val="Heading2"/>
        <w:keepNext/>
        <w:spacing w:before="80" w:after="20"/>
        <w:jc w:val="left"/>
      </w:pPr>
      <w:r>
        <w:rPr>
          <w:rFonts w:ascii="Times New Roman" w:hAnsi="Times New Roman"/>
          <w:i/>
          <w:color w:val="000000"/>
          <w:sz w:val="20"/>
        </w:rPr>
        <w:t>C. Target Label and Temporal Cut-off</w:t>
      </w:r>
    </w:p>
    <w:p>
      <w:pPr>
        <w:spacing w:before="0" w:after="20" w:line="240" w:lineRule="auto"/>
        <w:ind w:firstLine="259"/>
        <w:jc w:val="both"/>
      </w:pPr>
      <w:r>
        <w:rPr>
          <w:rFonts w:ascii="Times New Roman" w:hAnsi="Times New Roman"/>
          <w:b w:val="0"/>
          <w:i w:val="0"/>
          <w:color w:val="000000"/>
          <w:sz w:val="20"/>
        </w:rPr>
        <w:t xml:space="preserve">Target dirumuskan sebagai klasifikasi biner pada tingkat mata kuliah. Label </w:t>
      </w:r>
      <w:r>
        <w:rPr>
          <w:rFonts w:ascii="Times New Roman" w:hAnsi="Times New Roman"/>
          <w:b w:val="0"/>
          <w:i/>
          <w:color w:val="000000"/>
          <w:sz w:val="20"/>
        </w:rPr>
        <w:t>AtRisk</w:t>
      </w:r>
      <w:r>
        <w:rPr>
          <w:rFonts w:ascii="Times New Roman" w:hAnsi="Times New Roman"/>
          <w:b w:val="0"/>
          <w:i w:val="0"/>
          <w:color w:val="000000"/>
          <w:sz w:val="20"/>
        </w:rPr>
        <w:t xml:space="preserve"> diberikan kepada baris dengan </w:t>
      </w:r>
      <w:r>
        <w:rPr>
          <w:rFonts w:ascii="Times New Roman" w:hAnsi="Times New Roman"/>
          <w:b w:val="0"/>
          <w:i/>
          <w:color w:val="000000"/>
          <w:sz w:val="20"/>
        </w:rPr>
        <w:t>final_result</w:t>
      </w:r>
      <w:r>
        <w:rPr>
          <w:rFonts w:ascii="Times New Roman" w:hAnsi="Times New Roman"/>
          <w:b w:val="0"/>
          <w:i w:val="0"/>
          <w:color w:val="000000"/>
          <w:sz w:val="20"/>
        </w:rPr>
        <w:t xml:space="preserve"> berupa </w:t>
      </w:r>
      <w:r>
        <w:rPr>
          <w:rFonts w:ascii="Times New Roman" w:hAnsi="Times New Roman"/>
          <w:b w:val="0"/>
          <w:i/>
          <w:color w:val="000000"/>
          <w:sz w:val="20"/>
        </w:rPr>
        <w:t>Withdrawn</w:t>
      </w:r>
      <w:r>
        <w:rPr>
          <w:rFonts w:ascii="Times New Roman" w:hAnsi="Times New Roman"/>
          <w:b w:val="0"/>
          <w:i w:val="0"/>
          <w:color w:val="000000"/>
          <w:sz w:val="20"/>
        </w:rPr>
        <w:t xml:space="preserve"> atau </w:t>
      </w:r>
      <w:r>
        <w:rPr>
          <w:rFonts w:ascii="Times New Roman" w:hAnsi="Times New Roman"/>
          <w:b w:val="0"/>
          <w:i/>
          <w:color w:val="000000"/>
          <w:sz w:val="20"/>
        </w:rPr>
        <w:t>Fail</w:t>
      </w:r>
      <w:r>
        <w:rPr>
          <w:rFonts w:ascii="Times New Roman" w:hAnsi="Times New Roman"/>
          <w:b w:val="0"/>
          <w:i w:val="0"/>
          <w:color w:val="000000"/>
          <w:sz w:val="20"/>
        </w:rPr>
        <w:t xml:space="preserve">. Label </w:t>
      </w:r>
      <w:r>
        <w:rPr>
          <w:rFonts w:ascii="Times New Roman" w:hAnsi="Times New Roman"/>
          <w:b w:val="0"/>
          <w:i/>
          <w:color w:val="000000"/>
          <w:sz w:val="20"/>
        </w:rPr>
        <w:t>Successful</w:t>
      </w:r>
      <w:r>
        <w:rPr>
          <w:rFonts w:ascii="Times New Roman" w:hAnsi="Times New Roman"/>
          <w:b w:val="0"/>
          <w:i w:val="0"/>
          <w:color w:val="000000"/>
          <w:sz w:val="20"/>
        </w:rPr>
        <w:t xml:space="preserve"> diberikan kepada baris dengan </w:t>
      </w:r>
      <w:r>
        <w:rPr>
          <w:rFonts w:ascii="Times New Roman" w:hAnsi="Times New Roman"/>
          <w:b w:val="0"/>
          <w:i/>
          <w:color w:val="000000"/>
          <w:sz w:val="20"/>
        </w:rPr>
        <w:t>final_result</w:t>
      </w:r>
      <w:r>
        <w:rPr>
          <w:rFonts w:ascii="Times New Roman" w:hAnsi="Times New Roman"/>
          <w:b w:val="0"/>
          <w:i w:val="0"/>
          <w:color w:val="000000"/>
          <w:sz w:val="20"/>
        </w:rPr>
        <w:t xml:space="preserve"> berupa </w:t>
      </w:r>
      <w:r>
        <w:rPr>
          <w:rFonts w:ascii="Times New Roman" w:hAnsi="Times New Roman"/>
          <w:b w:val="0"/>
          <w:i/>
          <w:color w:val="000000"/>
          <w:sz w:val="20"/>
        </w:rPr>
        <w:t>Pass</w:t>
      </w:r>
      <w:r>
        <w:rPr>
          <w:rFonts w:ascii="Times New Roman" w:hAnsi="Times New Roman"/>
          <w:b w:val="0"/>
          <w:i w:val="0"/>
          <w:color w:val="000000"/>
          <w:sz w:val="20"/>
        </w:rPr>
        <w:t xml:space="preserve"> atau </w:t>
      </w:r>
      <w:r>
        <w:rPr>
          <w:rFonts w:ascii="Times New Roman" w:hAnsi="Times New Roman"/>
          <w:b w:val="0"/>
          <w:i/>
          <w:color w:val="000000"/>
          <w:sz w:val="20"/>
        </w:rPr>
        <w:t>Distinction</w:t>
      </w:r>
      <w:r>
        <w:rPr>
          <w:rFonts w:ascii="Times New Roman" w:hAnsi="Times New Roman"/>
          <w:b w:val="0"/>
          <w:i w:val="0"/>
          <w:color w:val="000000"/>
          <w:sz w:val="20"/>
        </w:rPr>
        <w:t xml:space="preserve">. Status tersebut menjelaskan hasil mahasiswa pada suatu module-presentation. Dataset terdiri atas 17.208 baris </w:t>
      </w:r>
      <w:r>
        <w:rPr>
          <w:rFonts w:ascii="Times New Roman" w:hAnsi="Times New Roman"/>
          <w:b w:val="0"/>
          <w:i/>
          <w:color w:val="000000"/>
          <w:sz w:val="20"/>
        </w:rPr>
        <w:t>AtRisk</w:t>
      </w:r>
      <w:r>
        <w:rPr>
          <w:rFonts w:ascii="Times New Roman" w:hAnsi="Times New Roman"/>
          <w:b w:val="0"/>
          <w:i w:val="0"/>
          <w:color w:val="000000"/>
          <w:sz w:val="20"/>
        </w:rPr>
        <w:t xml:space="preserve"> dan 15.385 baris </w:t>
      </w:r>
      <w:r>
        <w:rPr>
          <w:rFonts w:ascii="Times New Roman" w:hAnsi="Times New Roman"/>
          <w:b w:val="0"/>
          <w:i/>
          <w:color w:val="000000"/>
          <w:sz w:val="20"/>
        </w:rPr>
        <w:t>Successful</w:t>
      </w:r>
      <w:r>
        <w:rPr>
          <w:rFonts w:ascii="Times New Roman" w:hAnsi="Times New Roman"/>
          <w:b w:val="0"/>
          <w:i w:val="0"/>
          <w:color w:val="000000"/>
          <w:sz w:val="20"/>
        </w:rPr>
        <w:t>.</w:t>
      </w:r>
    </w:p>
    <w:p>
      <w:pPr>
        <w:spacing w:before="0" w:after="20" w:line="240" w:lineRule="auto"/>
        <w:ind w:firstLine="259"/>
        <w:jc w:val="both"/>
      </w:pPr>
      <w:r>
        <w:rPr>
          <w:rFonts w:ascii="Times New Roman" w:hAnsi="Times New Roman"/>
          <w:b w:val="0"/>
          <w:i w:val="0"/>
          <w:color w:val="000000"/>
          <w:sz w:val="20"/>
        </w:rPr>
        <w:t xml:space="preserve">Horizon early warning ditetapkan pada hari ke-28. Submission assessment dipilih dengan kondisi </w:t>
      </w:r>
      <w:r>
        <w:rPr>
          <w:rFonts w:ascii="Times New Roman" w:hAnsi="Times New Roman"/>
          <w:b w:val="0"/>
          <w:i/>
          <w:color w:val="000000"/>
          <w:sz w:val="20"/>
        </w:rPr>
        <w:t>date_submitted &lt;= 28</w:t>
      </w:r>
      <w:r>
        <w:rPr>
          <w:rFonts w:ascii="Times New Roman" w:hAnsi="Times New Roman"/>
          <w:b w:val="0"/>
          <w:i w:val="0"/>
          <w:color w:val="000000"/>
          <w:sz w:val="20"/>
        </w:rPr>
        <w:t xml:space="preserve">, sedangkan aktivitas VLE dipilih dengan kondisi </w:t>
      </w:r>
      <w:r>
        <w:rPr>
          <w:rFonts w:ascii="Times New Roman" w:hAnsi="Times New Roman"/>
          <w:b w:val="0"/>
          <w:i/>
          <w:color w:val="000000"/>
          <w:sz w:val="20"/>
        </w:rPr>
        <w:t>date &lt;= 28</w:t>
      </w:r>
      <w:r>
        <w:rPr>
          <w:rFonts w:ascii="Times New Roman" w:hAnsi="Times New Roman"/>
          <w:b w:val="0"/>
          <w:i w:val="0"/>
          <w:color w:val="000000"/>
          <w:sz w:val="20"/>
        </w:rPr>
        <w:t xml:space="preserve">. Informasi </w:t>
      </w:r>
      <w:r>
        <w:rPr>
          <w:rFonts w:ascii="Times New Roman" w:hAnsi="Times New Roman"/>
          <w:b w:val="0"/>
          <w:i/>
          <w:color w:val="000000"/>
          <w:sz w:val="20"/>
        </w:rPr>
        <w:t>date_unregistration</w:t>
      </w:r>
      <w:r>
        <w:rPr>
          <w:rFonts w:ascii="Times New Roman" w:hAnsi="Times New Roman"/>
          <w:b w:val="0"/>
          <w:i w:val="0"/>
          <w:color w:val="000000"/>
          <w:sz w:val="20"/>
        </w:rPr>
        <w:t xml:space="preserve">, </w:t>
      </w:r>
      <w:r>
        <w:rPr>
          <w:rFonts w:ascii="Times New Roman" w:hAnsi="Times New Roman"/>
          <w:b w:val="0"/>
          <w:i/>
          <w:color w:val="000000"/>
          <w:sz w:val="20"/>
        </w:rPr>
        <w:t>has_unregistration</w:t>
      </w:r>
      <w:r>
        <w:rPr>
          <w:rFonts w:ascii="Times New Roman" w:hAnsi="Times New Roman"/>
          <w:b w:val="0"/>
          <w:i w:val="0"/>
          <w:color w:val="000000"/>
          <w:sz w:val="20"/>
        </w:rPr>
        <w:t>, hasil akhir, dan aktivitas setelah hari ke-28 dikeluarkan dari fitur prediktor. Hasil akhir hanya digunakan untuk membentuk target evaluasi.</w:t>
      </w:r>
    </w:p>
    <w:p>
      <w:pPr>
        <w:pStyle w:val="Heading2"/>
        <w:keepNext/>
        <w:spacing w:before="80" w:after="20"/>
        <w:jc w:val="left"/>
      </w:pPr>
      <w:r>
        <w:rPr>
          <w:rFonts w:ascii="Times New Roman" w:hAnsi="Times New Roman"/>
          <w:i/>
          <w:color w:val="000000"/>
          <w:sz w:val="20"/>
        </w:rPr>
        <w:t>D. Feature Construction</w:t>
      </w:r>
    </w:p>
    <w:p>
      <w:pPr>
        <w:spacing w:before="0" w:after="20" w:line="240" w:lineRule="auto"/>
        <w:ind w:firstLine="259"/>
        <w:jc w:val="both"/>
      </w:pPr>
      <w:r>
        <w:rPr>
          <w:rFonts w:ascii="Times New Roman" w:hAnsi="Times New Roman"/>
          <w:b w:val="0"/>
          <w:i w:val="0"/>
          <w:color w:val="000000"/>
          <w:sz w:val="20"/>
        </w:rPr>
        <w:t xml:space="preserve">Fitur kategorikal mencakup </w:t>
      </w:r>
      <w:r>
        <w:rPr>
          <w:rFonts w:ascii="Times New Roman" w:hAnsi="Times New Roman"/>
          <w:b w:val="0"/>
          <w:i/>
          <w:color w:val="000000"/>
          <w:sz w:val="20"/>
        </w:rPr>
        <w:t>gender</w:t>
      </w:r>
      <w:r>
        <w:rPr>
          <w:rFonts w:ascii="Times New Roman" w:hAnsi="Times New Roman"/>
          <w:b w:val="0"/>
          <w:i w:val="0"/>
          <w:color w:val="000000"/>
          <w:sz w:val="20"/>
        </w:rPr>
        <w:t xml:space="preserve">, </w:t>
      </w:r>
      <w:r>
        <w:rPr>
          <w:rFonts w:ascii="Times New Roman" w:hAnsi="Times New Roman"/>
          <w:b w:val="0"/>
          <w:i/>
          <w:color w:val="000000"/>
          <w:sz w:val="20"/>
        </w:rPr>
        <w:t>region</w:t>
      </w:r>
      <w:r>
        <w:rPr>
          <w:rFonts w:ascii="Times New Roman" w:hAnsi="Times New Roman"/>
          <w:b w:val="0"/>
          <w:i w:val="0"/>
          <w:color w:val="000000"/>
          <w:sz w:val="20"/>
        </w:rPr>
        <w:t xml:space="preserve">, </w:t>
      </w:r>
      <w:r>
        <w:rPr>
          <w:rFonts w:ascii="Times New Roman" w:hAnsi="Times New Roman"/>
          <w:b w:val="0"/>
          <w:i/>
          <w:color w:val="000000"/>
          <w:sz w:val="20"/>
        </w:rPr>
        <w:t>highest_education</w:t>
      </w:r>
      <w:r>
        <w:rPr>
          <w:rFonts w:ascii="Times New Roman" w:hAnsi="Times New Roman"/>
          <w:b w:val="0"/>
          <w:i w:val="0"/>
          <w:color w:val="000000"/>
          <w:sz w:val="20"/>
        </w:rPr>
        <w:t xml:space="preserve">, </w:t>
      </w:r>
      <w:r>
        <w:rPr>
          <w:rFonts w:ascii="Times New Roman" w:hAnsi="Times New Roman"/>
          <w:b w:val="0"/>
          <w:i/>
          <w:color w:val="000000"/>
          <w:sz w:val="20"/>
        </w:rPr>
        <w:t>imd_band</w:t>
      </w:r>
      <w:r>
        <w:rPr>
          <w:rFonts w:ascii="Times New Roman" w:hAnsi="Times New Roman"/>
          <w:b w:val="0"/>
          <w:i w:val="0"/>
          <w:color w:val="000000"/>
          <w:sz w:val="20"/>
        </w:rPr>
        <w:t xml:space="preserve">, </w:t>
      </w:r>
      <w:r>
        <w:rPr>
          <w:rFonts w:ascii="Times New Roman" w:hAnsi="Times New Roman"/>
          <w:b w:val="0"/>
          <w:i/>
          <w:color w:val="000000"/>
          <w:sz w:val="20"/>
        </w:rPr>
        <w:t>age_band</w:t>
      </w:r>
      <w:r>
        <w:rPr>
          <w:rFonts w:ascii="Times New Roman" w:hAnsi="Times New Roman"/>
          <w:b w:val="0"/>
          <w:i w:val="0"/>
          <w:color w:val="000000"/>
          <w:sz w:val="20"/>
        </w:rPr>
        <w:t xml:space="preserve">, </w:t>
      </w:r>
      <w:r>
        <w:rPr>
          <w:rFonts w:ascii="Times New Roman" w:hAnsi="Times New Roman"/>
          <w:b w:val="0"/>
          <w:i/>
          <w:color w:val="000000"/>
          <w:sz w:val="20"/>
        </w:rPr>
        <w:t>disability</w:t>
      </w:r>
      <w:r>
        <w:rPr>
          <w:rFonts w:ascii="Times New Roman" w:hAnsi="Times New Roman"/>
          <w:b w:val="0"/>
          <w:i w:val="0"/>
          <w:color w:val="000000"/>
          <w:sz w:val="20"/>
        </w:rPr>
        <w:t xml:space="preserve">, </w:t>
      </w:r>
      <w:r>
        <w:rPr>
          <w:rFonts w:ascii="Times New Roman" w:hAnsi="Times New Roman"/>
          <w:b w:val="0"/>
          <w:i/>
          <w:color w:val="000000"/>
          <w:sz w:val="20"/>
        </w:rPr>
        <w:t>code_module</w:t>
      </w:r>
      <w:r>
        <w:rPr>
          <w:rFonts w:ascii="Times New Roman" w:hAnsi="Times New Roman"/>
          <w:b w:val="0"/>
          <w:i w:val="0"/>
          <w:color w:val="000000"/>
          <w:sz w:val="20"/>
        </w:rPr>
        <w:t xml:space="preserve">, dan </w:t>
      </w:r>
      <w:r>
        <w:rPr>
          <w:rFonts w:ascii="Times New Roman" w:hAnsi="Times New Roman"/>
          <w:b w:val="0"/>
          <w:i/>
          <w:color w:val="000000"/>
          <w:sz w:val="20"/>
        </w:rPr>
        <w:t>code_presentation</w:t>
      </w:r>
      <w:r>
        <w:rPr>
          <w:rFonts w:ascii="Times New Roman" w:hAnsi="Times New Roman"/>
          <w:b w:val="0"/>
          <w:i w:val="0"/>
          <w:color w:val="000000"/>
          <w:sz w:val="20"/>
        </w:rPr>
        <w:t xml:space="preserve">. Fitur numerik awal mencakup </w:t>
      </w:r>
      <w:r>
        <w:rPr>
          <w:rFonts w:ascii="Times New Roman" w:hAnsi="Times New Roman"/>
          <w:b w:val="0"/>
          <w:i/>
          <w:color w:val="000000"/>
          <w:sz w:val="20"/>
        </w:rPr>
        <w:t>num_of_prev_attempts</w:t>
      </w:r>
      <w:r>
        <w:rPr>
          <w:rFonts w:ascii="Times New Roman" w:hAnsi="Times New Roman"/>
          <w:b w:val="0"/>
          <w:i w:val="0"/>
          <w:color w:val="000000"/>
          <w:sz w:val="20"/>
        </w:rPr>
        <w:t xml:space="preserve">, </w:t>
      </w:r>
      <w:r>
        <w:rPr>
          <w:rFonts w:ascii="Times New Roman" w:hAnsi="Times New Roman"/>
          <w:b w:val="0"/>
          <w:i/>
          <w:color w:val="000000"/>
          <w:sz w:val="20"/>
        </w:rPr>
        <w:t>studied_credits</w:t>
      </w:r>
      <w:r>
        <w:rPr>
          <w:rFonts w:ascii="Times New Roman" w:hAnsi="Times New Roman"/>
          <w:b w:val="0"/>
          <w:i w:val="0"/>
          <w:color w:val="000000"/>
          <w:sz w:val="20"/>
        </w:rPr>
        <w:t xml:space="preserve">, dan </w:t>
      </w:r>
      <w:r>
        <w:rPr>
          <w:rFonts w:ascii="Times New Roman" w:hAnsi="Times New Roman"/>
          <w:b w:val="0"/>
          <w:i/>
          <w:color w:val="000000"/>
          <w:sz w:val="20"/>
        </w:rPr>
        <w:t>date_registration</w:t>
      </w:r>
      <w:r>
        <w:rPr>
          <w:rFonts w:ascii="Times New Roman" w:hAnsi="Times New Roman"/>
          <w:b w:val="0"/>
          <w:i w:val="0"/>
          <w:color w:val="000000"/>
          <w:sz w:val="20"/>
        </w:rPr>
        <w:t>.</w:t>
      </w:r>
    </w:p>
    <w:p>
      <w:pPr>
        <w:spacing w:before="0" w:after="20" w:line="240" w:lineRule="auto"/>
        <w:ind w:firstLine="259"/>
        <w:jc w:val="both"/>
      </w:pPr>
      <w:r>
        <w:rPr>
          <w:rFonts w:ascii="Times New Roman" w:hAnsi="Times New Roman"/>
          <w:b w:val="0"/>
          <w:i w:val="0"/>
          <w:color w:val="000000"/>
          <w:sz w:val="20"/>
        </w:rPr>
        <w:t xml:space="preserve">Data </w:t>
      </w:r>
      <w:r>
        <w:rPr>
          <w:rFonts w:ascii="Times New Roman" w:hAnsi="Times New Roman"/>
          <w:b w:val="0"/>
          <w:i/>
          <w:color w:val="000000"/>
          <w:sz w:val="20"/>
        </w:rPr>
        <w:t>studentAssessment</w:t>
      </w:r>
      <w:r>
        <w:rPr>
          <w:rFonts w:ascii="Times New Roman" w:hAnsi="Times New Roman"/>
          <w:b w:val="0"/>
          <w:i w:val="0"/>
          <w:color w:val="000000"/>
          <w:sz w:val="20"/>
        </w:rPr>
        <w:t xml:space="preserve"> dihubungkan dengan tabel </w:t>
      </w:r>
      <w:r>
        <w:rPr>
          <w:rFonts w:ascii="Times New Roman" w:hAnsi="Times New Roman"/>
          <w:b w:val="0"/>
          <w:i/>
          <w:color w:val="000000"/>
          <w:sz w:val="20"/>
        </w:rPr>
        <w:t>assessments</w:t>
      </w:r>
      <w:r>
        <w:rPr>
          <w:rFonts w:ascii="Times New Roman" w:hAnsi="Times New Roman"/>
          <w:b w:val="0"/>
          <w:i w:val="0"/>
          <w:color w:val="000000"/>
          <w:sz w:val="20"/>
        </w:rPr>
        <w:t xml:space="preserve"> melalui </w:t>
      </w:r>
      <w:r>
        <w:rPr>
          <w:rFonts w:ascii="Times New Roman" w:hAnsi="Times New Roman"/>
          <w:b w:val="0"/>
          <w:i/>
          <w:color w:val="000000"/>
          <w:sz w:val="20"/>
        </w:rPr>
        <w:t>id_assessment</w:t>
      </w:r>
      <w:r>
        <w:rPr>
          <w:rFonts w:ascii="Times New Roman" w:hAnsi="Times New Roman"/>
          <w:b w:val="0"/>
          <w:i w:val="0"/>
          <w:color w:val="000000"/>
          <w:sz w:val="20"/>
        </w:rPr>
        <w:t xml:space="preserve"> untuk memperoleh konteks module-presentation. Data sampai hari ke-28 diagregasi menjadi </w:t>
      </w:r>
      <w:r>
        <w:rPr>
          <w:rFonts w:ascii="Times New Roman" w:hAnsi="Times New Roman"/>
          <w:b w:val="0"/>
          <w:i/>
          <w:color w:val="000000"/>
          <w:sz w:val="20"/>
        </w:rPr>
        <w:t>assessment_count</w:t>
      </w:r>
      <w:r>
        <w:rPr>
          <w:rFonts w:ascii="Times New Roman" w:hAnsi="Times New Roman"/>
          <w:b w:val="0"/>
          <w:i w:val="0"/>
          <w:color w:val="000000"/>
          <w:sz w:val="20"/>
        </w:rPr>
        <w:t xml:space="preserve">, </w:t>
      </w:r>
      <w:r>
        <w:rPr>
          <w:rFonts w:ascii="Times New Roman" w:hAnsi="Times New Roman"/>
          <w:b w:val="0"/>
          <w:i/>
          <w:color w:val="000000"/>
          <w:sz w:val="20"/>
        </w:rPr>
        <w:t>assessment_score_mean</w:t>
      </w:r>
      <w:r>
        <w:rPr>
          <w:rFonts w:ascii="Times New Roman" w:hAnsi="Times New Roman"/>
          <w:b w:val="0"/>
          <w:i w:val="0"/>
          <w:color w:val="000000"/>
          <w:sz w:val="20"/>
        </w:rPr>
        <w:t xml:space="preserve">, </w:t>
      </w:r>
      <w:r>
        <w:rPr>
          <w:rFonts w:ascii="Times New Roman" w:hAnsi="Times New Roman"/>
          <w:b w:val="0"/>
          <w:i/>
          <w:color w:val="000000"/>
          <w:sz w:val="20"/>
        </w:rPr>
        <w:t>assessment_score_max</w:t>
      </w:r>
      <w:r>
        <w:rPr>
          <w:rFonts w:ascii="Times New Roman" w:hAnsi="Times New Roman"/>
          <w:b w:val="0"/>
          <w:i w:val="0"/>
          <w:color w:val="000000"/>
          <w:sz w:val="20"/>
        </w:rPr>
        <w:t xml:space="preserve">, dan </w:t>
      </w:r>
      <w:r>
        <w:rPr>
          <w:rFonts w:ascii="Times New Roman" w:hAnsi="Times New Roman"/>
          <w:b w:val="0"/>
          <w:i/>
          <w:color w:val="000000"/>
          <w:sz w:val="20"/>
        </w:rPr>
        <w:t>assessment_score_min</w:t>
      </w:r>
      <w:r>
        <w:rPr>
          <w:rFonts w:ascii="Times New Roman" w:hAnsi="Times New Roman"/>
          <w:b w:val="0"/>
          <w:i w:val="0"/>
          <w:color w:val="000000"/>
          <w:sz w:val="20"/>
        </w:rPr>
        <w:t xml:space="preserve">. Data </w:t>
      </w:r>
      <w:r>
        <w:rPr>
          <w:rFonts w:ascii="Times New Roman" w:hAnsi="Times New Roman"/>
          <w:b w:val="0"/>
          <w:i/>
          <w:color w:val="000000"/>
          <w:sz w:val="20"/>
        </w:rPr>
        <w:t>studentVle</w:t>
      </w:r>
      <w:r>
        <w:rPr>
          <w:rFonts w:ascii="Times New Roman" w:hAnsi="Times New Roman"/>
          <w:b w:val="0"/>
          <w:i w:val="0"/>
          <w:color w:val="000000"/>
          <w:sz w:val="20"/>
        </w:rPr>
        <w:t xml:space="preserve"> sampai hari ke-28 diagregasi menjadi </w:t>
      </w:r>
      <w:r>
        <w:rPr>
          <w:rFonts w:ascii="Times New Roman" w:hAnsi="Times New Roman"/>
          <w:b w:val="0"/>
          <w:i/>
          <w:color w:val="000000"/>
          <w:sz w:val="20"/>
        </w:rPr>
        <w:t>vle_total_clicks</w:t>
      </w:r>
      <w:r>
        <w:rPr>
          <w:rFonts w:ascii="Times New Roman" w:hAnsi="Times New Roman"/>
          <w:b w:val="0"/>
          <w:i w:val="0"/>
          <w:color w:val="000000"/>
          <w:sz w:val="20"/>
        </w:rPr>
        <w:t xml:space="preserve">, </w:t>
      </w:r>
      <w:r>
        <w:rPr>
          <w:rFonts w:ascii="Times New Roman" w:hAnsi="Times New Roman"/>
          <w:b w:val="0"/>
          <w:i/>
          <w:color w:val="000000"/>
          <w:sz w:val="20"/>
        </w:rPr>
        <w:t>vle_active_days</w:t>
      </w:r>
      <w:r>
        <w:rPr>
          <w:rFonts w:ascii="Times New Roman" w:hAnsi="Times New Roman"/>
          <w:b w:val="0"/>
          <w:i w:val="0"/>
          <w:color w:val="000000"/>
          <w:sz w:val="20"/>
        </w:rPr>
        <w:t xml:space="preserve">, </w:t>
      </w:r>
      <w:r>
        <w:rPr>
          <w:rFonts w:ascii="Times New Roman" w:hAnsi="Times New Roman"/>
          <w:b w:val="0"/>
          <w:i/>
          <w:color w:val="000000"/>
          <w:sz w:val="20"/>
        </w:rPr>
        <w:t>vle_site_count</w:t>
      </w:r>
      <w:r>
        <w:rPr>
          <w:rFonts w:ascii="Times New Roman" w:hAnsi="Times New Roman"/>
          <w:b w:val="0"/>
          <w:i w:val="0"/>
          <w:color w:val="000000"/>
          <w:sz w:val="20"/>
        </w:rPr>
        <w:t xml:space="preserve">, dan </w:t>
      </w:r>
      <w:r>
        <w:rPr>
          <w:rFonts w:ascii="Times New Roman" w:hAnsi="Times New Roman"/>
          <w:b w:val="0"/>
          <w:i/>
          <w:color w:val="000000"/>
          <w:sz w:val="20"/>
        </w:rPr>
        <w:t>vle_last_activity_day</w:t>
      </w:r>
      <w:r>
        <w:rPr>
          <w:rFonts w:ascii="Times New Roman" w:hAnsi="Times New Roman"/>
          <w:b w:val="0"/>
          <w:i w:val="0"/>
          <w:color w:val="000000"/>
          <w:sz w:val="20"/>
        </w:rPr>
        <w:t>.</w:t>
      </w:r>
    </w:p>
    <w:p>
      <w:pPr>
        <w:spacing w:before="0" w:after="20" w:line="240" w:lineRule="auto"/>
        <w:ind w:firstLine="259"/>
        <w:jc w:val="both"/>
      </w:pPr>
      <w:r>
        <w:rPr>
          <w:rFonts w:ascii="Times New Roman" w:hAnsi="Times New Roman"/>
          <w:b w:val="0"/>
          <w:i w:val="0"/>
          <w:color w:val="000000"/>
          <w:sz w:val="20"/>
        </w:rPr>
        <w:t xml:space="preserve">Nilai numerik dikonversi menggunakan </w:t>
      </w:r>
      <w:r>
        <w:rPr>
          <w:rFonts w:ascii="Times New Roman" w:hAnsi="Times New Roman"/>
          <w:b w:val="0"/>
          <w:i/>
          <w:color w:val="000000"/>
          <w:sz w:val="20"/>
        </w:rPr>
        <w:t>pd.to_numeric</w:t>
      </w:r>
      <w:r>
        <w:rPr>
          <w:rFonts w:ascii="Times New Roman" w:hAnsi="Times New Roman"/>
          <w:b w:val="0"/>
          <w:i w:val="0"/>
          <w:color w:val="000000"/>
          <w:sz w:val="20"/>
        </w:rPr>
        <w:t xml:space="preserve"> dengan nilai yang tidak dapat dikonversi diperlakukan sebagai missing value. Agregat perilaku yang belum memiliki aktivitas diisi dengan nol. Pada pipeline model, missing value numerik diimputasi menggunakan median dan kemudian distandardisasi. Missing value kategorikal diimputasi menggunakan modus dan ditransformasikan dengan one-hot encoding. Seluruh transformasi dipelajari di dalam pipeline pada data pelatihan.</w:t>
      </w:r>
    </w:p>
    <w:p>
      <w:pPr>
        <w:pStyle w:val="Heading2"/>
        <w:keepNext/>
        <w:spacing w:before="80" w:after="20"/>
        <w:jc w:val="left"/>
      </w:pPr>
      <w:r>
        <w:rPr>
          <w:rFonts w:ascii="Times New Roman" w:hAnsi="Times New Roman"/>
          <w:i/>
          <w:color w:val="000000"/>
          <w:sz w:val="20"/>
        </w:rPr>
        <w:t>E. Data Splitting and Validation</w:t>
      </w:r>
    </w:p>
    <w:p>
      <w:pPr>
        <w:spacing w:before="0" w:after="20" w:line="240" w:lineRule="auto"/>
        <w:ind w:firstLine="259"/>
        <w:jc w:val="both"/>
      </w:pPr>
      <w:r>
        <w:rPr>
          <w:rFonts w:ascii="Times New Roman" w:hAnsi="Times New Roman"/>
          <w:b w:val="0"/>
          <w:i w:val="0"/>
          <w:color w:val="000000"/>
          <w:sz w:val="20"/>
        </w:rPr>
        <w:t xml:space="preserve">Data dibagi menjadi 80% train-validation dan 20% hold-out test menggunakan </w:t>
      </w:r>
      <w:r>
        <w:rPr>
          <w:rFonts w:ascii="Times New Roman" w:hAnsi="Times New Roman"/>
          <w:b w:val="0"/>
          <w:i/>
          <w:color w:val="000000"/>
          <w:sz w:val="20"/>
        </w:rPr>
        <w:t>GroupShuffleSplit</w:t>
      </w:r>
      <w:r>
        <w:rPr>
          <w:rFonts w:ascii="Times New Roman" w:hAnsi="Times New Roman"/>
          <w:b w:val="0"/>
          <w:i w:val="0"/>
          <w:color w:val="000000"/>
          <w:sz w:val="20"/>
        </w:rPr>
        <w:t xml:space="preserve">. Variabel </w:t>
      </w:r>
      <w:r>
        <w:rPr>
          <w:rFonts w:ascii="Times New Roman" w:hAnsi="Times New Roman"/>
          <w:b w:val="0"/>
          <w:i/>
          <w:color w:val="000000"/>
          <w:sz w:val="20"/>
        </w:rPr>
        <w:t>id_student</w:t>
      </w:r>
      <w:r>
        <w:rPr>
          <w:rFonts w:ascii="Times New Roman" w:hAnsi="Times New Roman"/>
          <w:b w:val="0"/>
          <w:i w:val="0"/>
          <w:color w:val="000000"/>
          <w:sz w:val="20"/>
        </w:rPr>
        <w:t xml:space="preserve"> digunakan sebagai grup sehingga setiap mahasiswa ditempatkan secara eksklusif pada salah satu bagian. Train-validation terdiri atas 26.122 baris dan test terdiri atas 6.471 baris. Pemeriksaan menunjukkan overlap mahasiswa sebesar nol.</w:t>
      </w:r>
    </w:p>
    <w:p>
      <w:pPr>
        <w:spacing w:before="0" w:after="20" w:line="240" w:lineRule="auto"/>
        <w:ind w:firstLine="259"/>
        <w:jc w:val="both"/>
      </w:pPr>
      <w:r>
        <w:rPr>
          <w:rFonts w:ascii="Times New Roman" w:hAnsi="Times New Roman"/>
          <w:b w:val="0"/>
          <w:i w:val="0"/>
          <w:color w:val="000000"/>
          <w:sz w:val="20"/>
        </w:rPr>
        <w:t xml:space="preserve">Evaluasi cross-validation menggunakan 5-fold </w:t>
      </w:r>
      <w:r>
        <w:rPr>
          <w:rFonts w:ascii="Times New Roman" w:hAnsi="Times New Roman"/>
          <w:b w:val="0"/>
          <w:i/>
          <w:color w:val="000000"/>
          <w:sz w:val="20"/>
        </w:rPr>
        <w:t>GroupKFold</w:t>
      </w:r>
      <w:r>
        <w:rPr>
          <w:rFonts w:ascii="Times New Roman" w:hAnsi="Times New Roman"/>
          <w:b w:val="0"/>
          <w:i w:val="0"/>
          <w:color w:val="000000"/>
          <w:sz w:val="20"/>
        </w:rPr>
        <w:t xml:space="preserve"> pada train-validation. Pemilihan model didasarkan pada rata-rata recall kelas </w:t>
      </w:r>
      <w:r>
        <w:rPr>
          <w:rFonts w:ascii="Times New Roman" w:hAnsi="Times New Roman"/>
          <w:b w:val="0"/>
          <w:i/>
          <w:color w:val="000000"/>
          <w:sz w:val="20"/>
        </w:rPr>
        <w:t>AtRisk</w:t>
      </w:r>
      <w:r>
        <w:rPr>
          <w:rFonts w:ascii="Times New Roman" w:hAnsi="Times New Roman"/>
          <w:b w:val="0"/>
          <w:i w:val="0"/>
          <w:color w:val="000000"/>
          <w:sz w:val="20"/>
        </w:rPr>
        <w:t xml:space="preserve">, kemudian F1-score </w:t>
      </w:r>
      <w:r>
        <w:rPr>
          <w:rFonts w:ascii="Times New Roman" w:hAnsi="Times New Roman"/>
          <w:b w:val="0"/>
          <w:i/>
          <w:color w:val="000000"/>
          <w:sz w:val="20"/>
        </w:rPr>
        <w:t>AtRisk</w:t>
      </w:r>
      <w:r>
        <w:rPr>
          <w:rFonts w:ascii="Times New Roman" w:hAnsi="Times New Roman"/>
          <w:b w:val="0"/>
          <w:i w:val="0"/>
          <w:color w:val="000000"/>
          <w:sz w:val="20"/>
        </w:rPr>
        <w:t xml:space="preserve"> digunakan sebagai tie-breaker. Setelah model terpilih, performa akhir dilaporkan pada hold-out test.</w:t>
      </w:r>
    </w:p>
    <w:p>
      <w:pPr>
        <w:pStyle w:val="Heading2"/>
        <w:keepNext/>
        <w:spacing w:before="80" w:after="20"/>
        <w:jc w:val="left"/>
      </w:pPr>
      <w:r>
        <w:rPr>
          <w:rFonts w:ascii="Times New Roman" w:hAnsi="Times New Roman"/>
          <w:i/>
          <w:color w:val="000000"/>
          <w:sz w:val="20"/>
        </w:rPr>
        <w:t>F. Supervised Learning Models</w:t>
      </w:r>
    </w:p>
    <w:p>
      <w:pPr>
        <w:spacing w:before="0" w:after="20" w:line="240" w:lineRule="auto"/>
        <w:ind w:firstLine="259"/>
        <w:jc w:val="both"/>
      </w:pPr>
      <w:r>
        <w:rPr>
          <w:rFonts w:ascii="Times New Roman" w:hAnsi="Times New Roman"/>
          <w:b w:val="0"/>
          <w:i w:val="0"/>
          <w:color w:val="000000"/>
          <w:sz w:val="20"/>
        </w:rPr>
        <w:t xml:space="preserve">Tiga algoritma dibandingkan. Logistic Regression digunakan sebagai baseline linear dengan </w:t>
      </w:r>
      <w:r>
        <w:rPr>
          <w:rFonts w:ascii="Times New Roman" w:hAnsi="Times New Roman"/>
          <w:b w:val="0"/>
          <w:i/>
          <w:color w:val="000000"/>
          <w:sz w:val="20"/>
        </w:rPr>
        <w:t>class_weight='balanced'</w:t>
      </w:r>
      <w:r>
        <w:rPr>
          <w:rFonts w:ascii="Times New Roman" w:hAnsi="Times New Roman"/>
          <w:b w:val="0"/>
          <w:i w:val="0"/>
          <w:color w:val="000000"/>
          <w:sz w:val="20"/>
        </w:rPr>
        <w:t xml:space="preserve">. Random Forest menggunakan 250 pohon dan </w:t>
      </w:r>
      <w:r>
        <w:rPr>
          <w:rFonts w:ascii="Times New Roman" w:hAnsi="Times New Roman"/>
          <w:b w:val="0"/>
          <w:i/>
          <w:color w:val="000000"/>
          <w:sz w:val="20"/>
        </w:rPr>
        <w:t>class_weight='balanced'</w:t>
      </w:r>
      <w:r>
        <w:rPr>
          <w:rFonts w:ascii="Times New Roman" w:hAnsi="Times New Roman"/>
          <w:b w:val="0"/>
          <w:i w:val="0"/>
          <w:color w:val="000000"/>
          <w:sz w:val="20"/>
        </w:rPr>
        <w:t xml:space="preserve">. XGBoost menggunakan 200 estimator, kedalaman maksimum 4, learning rate 0,08, subsample 0,9, dan colsample 0,9. Nilai </w:t>
      </w:r>
      <w:r>
        <w:rPr>
          <w:rFonts w:ascii="Times New Roman" w:hAnsi="Times New Roman"/>
          <w:b w:val="0"/>
          <w:i/>
          <w:color w:val="000000"/>
          <w:sz w:val="20"/>
        </w:rPr>
        <w:t>scale_pos_weight</w:t>
      </w:r>
      <w:r>
        <w:rPr>
          <w:rFonts w:ascii="Times New Roman" w:hAnsi="Times New Roman"/>
          <w:b w:val="0"/>
          <w:i w:val="0"/>
          <w:color w:val="000000"/>
          <w:sz w:val="20"/>
        </w:rPr>
        <w:t xml:space="preserve"> dihitung dari distribusi kelas train-validation.</w:t>
      </w:r>
    </w:p>
    <w:p>
      <w:pPr>
        <w:spacing w:before="0" w:after="20" w:line="240" w:lineRule="auto"/>
        <w:ind w:firstLine="259"/>
        <w:jc w:val="both"/>
      </w:pPr>
      <w:r>
        <w:rPr>
          <w:rFonts w:ascii="Times New Roman" w:hAnsi="Times New Roman"/>
          <w:b w:val="0"/>
          <w:i w:val="0"/>
          <w:color w:val="000000"/>
          <w:sz w:val="20"/>
        </w:rPr>
        <w:t xml:space="preserve">Metrik evaluasi mencakup accuracy, precision, recall, dan F1-score untuk kelas </w:t>
      </w:r>
      <w:r>
        <w:rPr>
          <w:rFonts w:ascii="Times New Roman" w:hAnsi="Times New Roman"/>
          <w:b w:val="0"/>
          <w:i/>
          <w:color w:val="000000"/>
          <w:sz w:val="20"/>
        </w:rPr>
        <w:t>AtRisk</w:t>
      </w:r>
      <w:r>
        <w:rPr>
          <w:rFonts w:ascii="Times New Roman" w:hAnsi="Times New Roman"/>
          <w:b w:val="0"/>
          <w:i w:val="0"/>
          <w:color w:val="000000"/>
          <w:sz w:val="20"/>
        </w:rPr>
        <w:t xml:space="preserve">, ROC-AUC, confusion matrix, serta classification report. Recall </w:t>
      </w:r>
      <w:r>
        <w:rPr>
          <w:rFonts w:ascii="Times New Roman" w:hAnsi="Times New Roman"/>
          <w:b w:val="0"/>
          <w:i/>
          <w:color w:val="000000"/>
          <w:sz w:val="20"/>
        </w:rPr>
        <w:t>AtRisk</w:t>
      </w:r>
      <w:r>
        <w:rPr>
          <w:rFonts w:ascii="Times New Roman" w:hAnsi="Times New Roman"/>
          <w:b w:val="0"/>
          <w:i w:val="0"/>
          <w:color w:val="000000"/>
          <w:sz w:val="20"/>
        </w:rPr>
        <w:t xml:space="preserve"> menjadi kriteria utama karena early warning memprioritaskan cakupan mahasiswa berisiko yang dapat diarahkan pada proses verifikasi dan intervensi.</w:t>
      </w:r>
    </w:p>
    <w:p>
      <w:pPr>
        <w:pStyle w:val="Heading2"/>
        <w:keepNext/>
        <w:spacing w:before="80" w:after="20"/>
        <w:jc w:val="left"/>
      </w:pPr>
      <w:r>
        <w:rPr>
          <w:rFonts w:ascii="Times New Roman" w:hAnsi="Times New Roman"/>
          <w:i/>
          <w:color w:val="000000"/>
          <w:sz w:val="20"/>
        </w:rPr>
        <w:t>G. Knowledge-Based Risk Layer</w:t>
      </w:r>
    </w:p>
    <w:p>
      <w:pPr>
        <w:spacing w:before="0" w:after="20" w:line="240" w:lineRule="auto"/>
        <w:ind w:firstLine="259"/>
        <w:jc w:val="both"/>
      </w:pPr>
      <w:r>
        <w:rPr>
          <w:rFonts w:ascii="Times New Roman" w:hAnsi="Times New Roman"/>
          <w:b w:val="0"/>
          <w:i w:val="0"/>
          <w:color w:val="000000"/>
          <w:sz w:val="20"/>
        </w:rPr>
        <w:t xml:space="preserve">Knowledge-based risk layer menggunakan empat indikator: </w:t>
      </w:r>
      <w:r>
        <w:rPr>
          <w:rFonts w:ascii="Times New Roman" w:hAnsi="Times New Roman"/>
          <w:b w:val="0"/>
          <w:i/>
          <w:color w:val="000000"/>
          <w:sz w:val="20"/>
        </w:rPr>
        <w:t>assessment_score_mean</w:t>
      </w:r>
      <w:r>
        <w:rPr>
          <w:rFonts w:ascii="Times New Roman" w:hAnsi="Times New Roman"/>
          <w:b w:val="0"/>
          <w:i w:val="0"/>
          <w:color w:val="000000"/>
          <w:sz w:val="20"/>
        </w:rPr>
        <w:t xml:space="preserve">, </w:t>
      </w:r>
      <w:r>
        <w:rPr>
          <w:rFonts w:ascii="Times New Roman" w:hAnsi="Times New Roman"/>
          <w:b w:val="0"/>
          <w:i/>
          <w:color w:val="000000"/>
          <w:sz w:val="20"/>
        </w:rPr>
        <w:t>assessment_count</w:t>
      </w:r>
      <w:r>
        <w:rPr>
          <w:rFonts w:ascii="Times New Roman" w:hAnsi="Times New Roman"/>
          <w:b w:val="0"/>
          <w:i w:val="0"/>
          <w:color w:val="000000"/>
          <w:sz w:val="20"/>
        </w:rPr>
        <w:t xml:space="preserve">, </w:t>
      </w:r>
      <w:r>
        <w:rPr>
          <w:rFonts w:ascii="Times New Roman" w:hAnsi="Times New Roman"/>
          <w:b w:val="0"/>
          <w:i/>
          <w:color w:val="000000"/>
          <w:sz w:val="20"/>
        </w:rPr>
        <w:t>vle_total_clicks</w:t>
      </w:r>
      <w:r>
        <w:rPr>
          <w:rFonts w:ascii="Times New Roman" w:hAnsi="Times New Roman"/>
          <w:b w:val="0"/>
          <w:i w:val="0"/>
          <w:color w:val="000000"/>
          <w:sz w:val="20"/>
        </w:rPr>
        <w:t xml:space="preserve">, dan </w:t>
      </w:r>
      <w:r>
        <w:rPr>
          <w:rFonts w:ascii="Times New Roman" w:hAnsi="Times New Roman"/>
          <w:b w:val="0"/>
          <w:i/>
          <w:color w:val="000000"/>
          <w:sz w:val="20"/>
        </w:rPr>
        <w:t>vle_active_days</w:t>
      </w:r>
      <w:r>
        <w:rPr>
          <w:rFonts w:ascii="Times New Roman" w:hAnsi="Times New Roman"/>
          <w:b w:val="0"/>
          <w:i w:val="0"/>
          <w:color w:val="000000"/>
          <w:sz w:val="20"/>
        </w:rPr>
        <w:t>. Threshold dihitung dari kuartil bawah data train-validation. Prosedur ini menjaga threshold tetap independen dari hold-out test. Hasil perhitungan menghasilkan threshold skor assessment 0, jumlah assessment 0, total klik VLE 47, dan hari aktif VLE 4.</w:t>
      </w:r>
    </w:p>
    <w:p>
      <w:pPr>
        <w:spacing w:before="0" w:after="20" w:line="240" w:lineRule="auto"/>
        <w:ind w:firstLine="259"/>
        <w:jc w:val="both"/>
      </w:pPr>
      <w:r>
        <w:rPr>
          <w:rFonts w:ascii="Times New Roman" w:hAnsi="Times New Roman"/>
          <w:b w:val="0"/>
          <w:i w:val="0"/>
          <w:color w:val="000000"/>
          <w:sz w:val="20"/>
        </w:rPr>
        <w:t xml:space="preserve">Sinyal risiko diberikan ketika nilai indikator berada pada atau di bawah threshold. Status </w:t>
      </w:r>
      <w:r>
        <w:rPr>
          <w:rFonts w:ascii="Times New Roman" w:hAnsi="Times New Roman"/>
          <w:b w:val="0"/>
          <w:i/>
          <w:color w:val="000000"/>
          <w:sz w:val="20"/>
        </w:rPr>
        <w:t>High Risk</w:t>
      </w:r>
      <w:r>
        <w:rPr>
          <w:rFonts w:ascii="Times New Roman" w:hAnsi="Times New Roman"/>
          <w:b w:val="0"/>
          <w:i w:val="0"/>
          <w:color w:val="000000"/>
          <w:sz w:val="20"/>
        </w:rPr>
        <w:t xml:space="preserve"> diberikan ketika model memprediksi </w:t>
      </w:r>
      <w:r>
        <w:rPr>
          <w:rFonts w:ascii="Times New Roman" w:hAnsi="Times New Roman"/>
          <w:b w:val="0"/>
          <w:i/>
          <w:color w:val="000000"/>
          <w:sz w:val="20"/>
        </w:rPr>
        <w:t>AtRisk</w:t>
      </w:r>
      <w:r>
        <w:rPr>
          <w:rFonts w:ascii="Times New Roman" w:hAnsi="Times New Roman"/>
          <w:b w:val="0"/>
          <w:i w:val="0"/>
          <w:color w:val="000000"/>
          <w:sz w:val="20"/>
        </w:rPr>
        <w:t xml:space="preserve"> dan mahasiswa memiliki minimal dua sinyal aturan. Status </w:t>
      </w:r>
      <w:r>
        <w:rPr>
          <w:rFonts w:ascii="Times New Roman" w:hAnsi="Times New Roman"/>
          <w:b w:val="0"/>
          <w:i/>
          <w:color w:val="000000"/>
          <w:sz w:val="20"/>
        </w:rPr>
        <w:t>Medium Risk</w:t>
      </w:r>
      <w:r>
        <w:rPr>
          <w:rFonts w:ascii="Times New Roman" w:hAnsi="Times New Roman"/>
          <w:b w:val="0"/>
          <w:i w:val="0"/>
          <w:color w:val="000000"/>
          <w:sz w:val="20"/>
        </w:rPr>
        <w:t xml:space="preserve"> diberikan ketika model memprediksi </w:t>
      </w:r>
      <w:r>
        <w:rPr>
          <w:rFonts w:ascii="Times New Roman" w:hAnsi="Times New Roman"/>
          <w:b w:val="0"/>
          <w:i/>
          <w:color w:val="000000"/>
          <w:sz w:val="20"/>
        </w:rPr>
        <w:t>AtRisk</w:t>
      </w:r>
      <w:r>
        <w:rPr>
          <w:rFonts w:ascii="Times New Roman" w:hAnsi="Times New Roman"/>
          <w:b w:val="0"/>
          <w:i w:val="0"/>
          <w:color w:val="000000"/>
          <w:sz w:val="20"/>
        </w:rPr>
        <w:t xml:space="preserve"> atau mahasiswa memiliki minimal dua sinyal aturan. Status </w:t>
      </w:r>
      <w:r>
        <w:rPr>
          <w:rFonts w:ascii="Times New Roman" w:hAnsi="Times New Roman"/>
          <w:b w:val="0"/>
          <w:i/>
          <w:color w:val="000000"/>
          <w:sz w:val="20"/>
        </w:rPr>
        <w:t>Low Risk</w:t>
      </w:r>
      <w:r>
        <w:rPr>
          <w:rFonts w:ascii="Times New Roman" w:hAnsi="Times New Roman"/>
          <w:b w:val="0"/>
          <w:i w:val="0"/>
          <w:color w:val="000000"/>
          <w:sz w:val="20"/>
        </w:rPr>
        <w:t xml:space="preserve"> diberikan pada kondisi lainnya.</w:t>
      </w:r>
    </w:p>
    <w:p>
      <w:pPr>
        <w:spacing w:before="0" w:after="20" w:line="240" w:lineRule="auto"/>
        <w:ind w:firstLine="259"/>
        <w:jc w:val="both"/>
      </w:pPr>
      <w:r>
        <w:rPr>
          <w:rFonts w:ascii="Times New Roman" w:hAnsi="Times New Roman"/>
          <w:b w:val="0"/>
          <w:i w:val="0"/>
          <w:color w:val="000000"/>
          <w:sz w:val="20"/>
        </w:rPr>
        <w:t xml:space="preserve">Setiap baris menghasilkan probabilitas </w:t>
      </w:r>
      <w:r>
        <w:rPr>
          <w:rFonts w:ascii="Times New Roman" w:hAnsi="Times New Roman"/>
          <w:b w:val="0"/>
          <w:i/>
          <w:color w:val="000000"/>
          <w:sz w:val="20"/>
        </w:rPr>
        <w:t>AtRisk</w:t>
      </w:r>
      <w:r>
        <w:rPr>
          <w:rFonts w:ascii="Times New Roman" w:hAnsi="Times New Roman"/>
          <w:b w:val="0"/>
          <w:i w:val="0"/>
          <w:color w:val="000000"/>
          <w:sz w:val="20"/>
        </w:rPr>
        <w:t>, jumlah sinyal, alasan risiko, dan rekomendasi intervensi. Aktivitas VLE rendah diarahkan pada pengingat dan monitoring akses. Assessment rendah atau belum dikerjakan diarahkan pada pendampingan akademik. Kombinasi minimal tiga sinyal diarahkan pada konseling atau tindak lanjut dosen wali.</w:t>
      </w:r>
    </w:p>
    <w:p>
      <w:pPr>
        <w:spacing w:before="0" w:after="20" w:line="240" w:lineRule="auto"/>
        <w:ind w:firstLine="259"/>
        <w:jc w:val="both"/>
      </w:pPr>
      <w:r>
        <w:rPr>
          <w:rFonts w:ascii="Times New Roman" w:hAnsi="Times New Roman"/>
          <w:b w:val="0"/>
          <w:i w:val="0"/>
          <w:color w:val="000000"/>
          <w:sz w:val="20"/>
        </w:rPr>
        <w:t xml:space="preserve">Evaluasi sistem gabungan memetakan </w:t>
      </w:r>
      <w:r>
        <w:rPr>
          <w:rFonts w:ascii="Times New Roman" w:hAnsi="Times New Roman"/>
          <w:b w:val="0"/>
          <w:i/>
          <w:color w:val="000000"/>
          <w:sz w:val="20"/>
        </w:rPr>
        <w:t>High Risk</w:t>
      </w:r>
      <w:r>
        <w:rPr>
          <w:rFonts w:ascii="Times New Roman" w:hAnsi="Times New Roman"/>
          <w:b w:val="0"/>
          <w:i w:val="0"/>
          <w:color w:val="000000"/>
          <w:sz w:val="20"/>
        </w:rPr>
        <w:t xml:space="preserve"> dan </w:t>
      </w:r>
      <w:r>
        <w:rPr>
          <w:rFonts w:ascii="Times New Roman" w:hAnsi="Times New Roman"/>
          <w:b w:val="0"/>
          <w:i/>
          <w:color w:val="000000"/>
          <w:sz w:val="20"/>
        </w:rPr>
        <w:t>Medium Risk</w:t>
      </w:r>
      <w:r>
        <w:rPr>
          <w:rFonts w:ascii="Times New Roman" w:hAnsi="Times New Roman"/>
          <w:b w:val="0"/>
          <w:i w:val="0"/>
          <w:color w:val="000000"/>
          <w:sz w:val="20"/>
        </w:rPr>
        <w:t xml:space="preserve"> sebagai </w:t>
      </w:r>
      <w:r>
        <w:rPr>
          <w:rFonts w:ascii="Times New Roman" w:hAnsi="Times New Roman"/>
          <w:b w:val="0"/>
          <w:i/>
          <w:color w:val="000000"/>
          <w:sz w:val="20"/>
        </w:rPr>
        <w:t>AtRisk</w:t>
      </w:r>
      <w:r>
        <w:rPr>
          <w:rFonts w:ascii="Times New Roman" w:hAnsi="Times New Roman"/>
          <w:b w:val="0"/>
          <w:i w:val="0"/>
          <w:color w:val="000000"/>
          <w:sz w:val="20"/>
        </w:rPr>
        <w:t>, lalu mengukur perubahan cakupan deteksi, precision, dan beban verifikasi.</w:t>
      </w:r>
    </w:p>
    <w:p>
      <w:pPr>
        <w:pStyle w:val="Heading2"/>
        <w:keepNext/>
        <w:spacing w:before="80" w:after="20"/>
        <w:jc w:val="left"/>
      </w:pPr>
      <w:r>
        <w:rPr>
          <w:rFonts w:ascii="Times New Roman" w:hAnsi="Times New Roman"/>
          <w:i/>
          <w:color w:val="000000"/>
          <w:sz w:val="20"/>
        </w:rPr>
        <w:t>H. Visual Analytics and Business Intelligence</w:t>
      </w:r>
    </w:p>
    <w:p>
      <w:pPr>
        <w:spacing w:before="0" w:after="20" w:line="240" w:lineRule="auto"/>
        <w:ind w:firstLine="259"/>
        <w:jc w:val="both"/>
      </w:pPr>
      <w:r>
        <w:rPr>
          <w:rFonts w:ascii="Times New Roman" w:hAnsi="Times New Roman"/>
          <w:b w:val="0"/>
          <w:i w:val="0"/>
          <w:color w:val="000000"/>
          <w:sz w:val="20"/>
        </w:rPr>
        <w:t>Dashboard statis dibangun menggunakan Matplotlib dan Seaborn. Dashboard memuat KPI mahasiswa unik, jumlah dan persentase prioritas intervensi, distribusi level risiko, risiko per module-presentation, distribusi probabilitas, sinyal dominan, median aktivitas VLE dan assessment, confusion matrix, serta perbandingan model dengan knowledge layer.</w:t>
      </w:r>
    </w:p>
    <w:p>
      <w:pPr>
        <w:spacing w:before="0" w:after="20" w:line="240" w:lineRule="auto"/>
        <w:ind w:firstLine="259"/>
        <w:jc w:val="both"/>
      </w:pPr>
      <w:r>
        <w:rPr>
          <w:rFonts w:ascii="Times New Roman" w:hAnsi="Times New Roman"/>
          <w:b w:val="0"/>
          <w:i w:val="0"/>
          <w:color w:val="000000"/>
          <w:sz w:val="20"/>
        </w:rPr>
        <w:t xml:space="preserve">Daftar prioritas diurutkan berdasarkan level risiko, probabilitas </w:t>
      </w:r>
      <w:r>
        <w:rPr>
          <w:rFonts w:ascii="Times New Roman" w:hAnsi="Times New Roman"/>
          <w:b w:val="0"/>
          <w:i/>
          <w:color w:val="000000"/>
          <w:sz w:val="20"/>
        </w:rPr>
        <w:t>AtRisk</w:t>
      </w:r>
      <w:r>
        <w:rPr>
          <w:rFonts w:ascii="Times New Roman" w:hAnsi="Times New Roman"/>
          <w:b w:val="0"/>
          <w:i w:val="0"/>
          <w:color w:val="000000"/>
          <w:sz w:val="20"/>
        </w:rPr>
        <w:t>, dan jumlah sinyal. Keluaran tersebut mendukung beberapa tingkat keputusan. Pimpinan akademik memperoleh gambaran skala risiko, program studi melihat konsentrasi risiko antar module-presentation, dan tutor atau dosen wali memperoleh alasan serta rekomendasi pada tingkat mahasiswa. Sistem diposisikan sebagai decision support yang membantu stakeholder menetapkan tindak lanjut berdasarkan bukti analitik dan pertimbangan akademik.</w:t>
      </w:r>
    </w:p>
    <w:p>
      <w:pPr>
        <w:pStyle w:val="Heading1"/>
        <w:keepNext/>
        <w:spacing w:before="120" w:after="60"/>
        <w:jc w:val="center"/>
      </w:pPr>
      <w:r>
        <w:rPr>
          <w:rFonts w:ascii="Times New Roman" w:hAnsi="Times New Roman"/>
          <w:b w:val="0"/>
          <w:color w:val="000000"/>
          <w:sz w:val="20"/>
        </w:rPr>
        <w:t>IV. RESULTS AND DISCUSSION</w:t>
      </w:r>
    </w:p>
    <w:p>
      <w:pPr>
        <w:pStyle w:val="Heading2"/>
        <w:keepNext/>
        <w:spacing w:before="80" w:after="20"/>
        <w:jc w:val="left"/>
      </w:pPr>
      <w:r>
        <w:rPr>
          <w:rFonts w:ascii="Times New Roman" w:hAnsi="Times New Roman"/>
          <w:i/>
          <w:color w:val="000000"/>
          <w:sz w:val="20"/>
        </w:rPr>
        <w:t>A. Dataset and Validation Results</w:t>
      </w:r>
    </w:p>
    <w:p>
      <w:pPr>
        <w:spacing w:before="0" w:after="20" w:line="240" w:lineRule="auto"/>
        <w:ind w:firstLine="259"/>
        <w:jc w:val="both"/>
      </w:pPr>
      <w:r>
        <w:rPr>
          <w:rFonts w:ascii="Times New Roman" w:hAnsi="Times New Roman"/>
          <w:b w:val="0"/>
          <w:i w:val="0"/>
          <w:color w:val="000000"/>
          <w:sz w:val="20"/>
        </w:rPr>
        <w:t xml:space="preserve">Dataset hasil preprocessing memuat 32.593 student-module-presentation dari 28.785 mahasiswa unik. Kelas </w:t>
      </w:r>
      <w:r>
        <w:rPr>
          <w:rFonts w:ascii="Times New Roman" w:hAnsi="Times New Roman"/>
          <w:b w:val="0"/>
          <w:i/>
          <w:color w:val="000000"/>
          <w:sz w:val="20"/>
        </w:rPr>
        <w:t>AtRisk</w:t>
      </w:r>
      <w:r>
        <w:rPr>
          <w:rFonts w:ascii="Times New Roman" w:hAnsi="Times New Roman"/>
          <w:b w:val="0"/>
          <w:i w:val="0"/>
          <w:color w:val="000000"/>
          <w:sz w:val="20"/>
        </w:rPr>
        <w:t xml:space="preserve"> berjumlah 17.208 baris dan kelas </w:t>
      </w:r>
      <w:r>
        <w:rPr>
          <w:rFonts w:ascii="Times New Roman" w:hAnsi="Times New Roman"/>
          <w:b w:val="0"/>
          <w:i/>
          <w:color w:val="000000"/>
          <w:sz w:val="20"/>
        </w:rPr>
        <w:t>Successful</w:t>
      </w:r>
      <w:r>
        <w:rPr>
          <w:rFonts w:ascii="Times New Roman" w:hAnsi="Times New Roman"/>
          <w:b w:val="0"/>
          <w:i w:val="0"/>
          <w:color w:val="000000"/>
          <w:sz w:val="20"/>
        </w:rPr>
        <w:t xml:space="preserve"> berjumlah 15.385 baris. Train-validation memuat 26.122 baris, sedangkan hold-out test memuat 6.471 baris dengan 3.398 kasus </w:t>
      </w:r>
      <w:r>
        <w:rPr>
          <w:rFonts w:ascii="Times New Roman" w:hAnsi="Times New Roman"/>
          <w:b w:val="0"/>
          <w:i/>
          <w:color w:val="000000"/>
          <w:sz w:val="20"/>
        </w:rPr>
        <w:t>AtRisk</w:t>
      </w:r>
      <w:r>
        <w:rPr>
          <w:rFonts w:ascii="Times New Roman" w:hAnsi="Times New Roman"/>
          <w:b w:val="0"/>
          <w:i w:val="0"/>
          <w:color w:val="000000"/>
          <w:sz w:val="20"/>
        </w:rPr>
        <w:t xml:space="preserve"> dan 3.073 kasus </w:t>
      </w:r>
      <w:r>
        <w:rPr>
          <w:rFonts w:ascii="Times New Roman" w:hAnsi="Times New Roman"/>
          <w:b w:val="0"/>
          <w:i/>
          <w:color w:val="000000"/>
          <w:sz w:val="20"/>
        </w:rPr>
        <w:t>Successful</w:t>
      </w:r>
      <w:r>
        <w:rPr>
          <w:rFonts w:ascii="Times New Roman" w:hAnsi="Times New Roman"/>
          <w:b w:val="0"/>
          <w:i w:val="0"/>
          <w:color w:val="000000"/>
          <w:sz w:val="20"/>
        </w:rPr>
        <w:t xml:space="preserve">. Pemisahan berbasis </w:t>
      </w:r>
      <w:r>
        <w:rPr>
          <w:rFonts w:ascii="Times New Roman" w:hAnsi="Times New Roman"/>
          <w:b w:val="0"/>
          <w:i/>
          <w:color w:val="000000"/>
          <w:sz w:val="20"/>
        </w:rPr>
        <w:t>id_student</w:t>
      </w:r>
      <w:r>
        <w:rPr>
          <w:rFonts w:ascii="Times New Roman" w:hAnsi="Times New Roman"/>
          <w:b w:val="0"/>
          <w:i w:val="0"/>
          <w:color w:val="000000"/>
          <w:sz w:val="20"/>
        </w:rPr>
        <w:t xml:space="preserve"> menghasilkan overlap mahasiswa sebesar nol. Missing value terutama terdapat pada </w:t>
      </w:r>
      <w:r>
        <w:rPr>
          <w:rFonts w:ascii="Times New Roman" w:hAnsi="Times New Roman"/>
          <w:b w:val="0"/>
          <w:i/>
          <w:color w:val="000000"/>
          <w:sz w:val="20"/>
        </w:rPr>
        <w:t>imd_band</w:t>
      </w:r>
      <w:r>
        <w:rPr>
          <w:rFonts w:ascii="Times New Roman" w:hAnsi="Times New Roman"/>
          <w:b w:val="0"/>
          <w:i w:val="0"/>
          <w:color w:val="000000"/>
          <w:sz w:val="20"/>
        </w:rPr>
        <w:t xml:space="preserve"> dan sebagian kecil </w:t>
      </w:r>
      <w:r>
        <w:rPr>
          <w:rFonts w:ascii="Times New Roman" w:hAnsi="Times New Roman"/>
          <w:b w:val="0"/>
          <w:i/>
          <w:color w:val="000000"/>
          <w:sz w:val="20"/>
        </w:rPr>
        <w:t>date_registration</w:t>
      </w:r>
      <w:r>
        <w:rPr>
          <w:rFonts w:ascii="Times New Roman" w:hAnsi="Times New Roman"/>
          <w:b w:val="0"/>
          <w:i w:val="0"/>
          <w:color w:val="000000"/>
          <w:sz w:val="20"/>
        </w:rPr>
        <w:t>; keduanya ditangani di dalam pipeline berdasarkan data pelatihan pada setiap fold.</w:t>
      </w:r>
    </w:p>
    <w:p>
      <w:pPr>
        <w:pStyle w:val="Heading2"/>
        <w:keepNext/>
        <w:spacing w:before="80" w:after="20"/>
        <w:jc w:val="left"/>
      </w:pPr>
      <w:r>
        <w:rPr>
          <w:rFonts w:ascii="Times New Roman" w:hAnsi="Times New Roman"/>
          <w:i/>
          <w:color w:val="000000"/>
          <w:sz w:val="20"/>
        </w:rPr>
        <w:t>B. Cross-Validation Performance</w:t>
      </w:r>
    </w:p>
    <w:p>
      <w:pPr>
        <w:spacing w:before="0" w:after="20" w:line="240" w:lineRule="auto"/>
        <w:ind w:firstLine="259"/>
        <w:jc w:val="both"/>
      </w:pPr>
      <w:r>
        <w:rPr>
          <w:rFonts w:ascii="Times New Roman" w:hAnsi="Times New Roman"/>
          <w:b w:val="0"/>
          <w:i w:val="0"/>
          <w:color w:val="000000"/>
          <w:sz w:val="20"/>
        </w:rPr>
        <w:t xml:space="preserve">Tabel I menunjukkan hasil 5-fold GroupKFold. Random Forest menghasilkan mean recall </w:t>
      </w:r>
      <w:r>
        <w:rPr>
          <w:rFonts w:ascii="Times New Roman" w:hAnsi="Times New Roman"/>
          <w:b w:val="0"/>
          <w:i/>
          <w:color w:val="000000"/>
          <w:sz w:val="20"/>
        </w:rPr>
        <w:t>AtRisk</w:t>
      </w:r>
      <w:r>
        <w:rPr>
          <w:rFonts w:ascii="Times New Roman" w:hAnsi="Times New Roman"/>
          <w:b w:val="0"/>
          <w:i w:val="0"/>
          <w:color w:val="000000"/>
          <w:sz w:val="20"/>
        </w:rPr>
        <w:t xml:space="preserve"> tertinggi sebesar 0,7107 dan dipilih sebagai model final sesuai kriteria seleksi. XGBoost menghasilkan accuracy, F1-score, dan ROC-AUC tertinggi, masing-masing sebesar 0,7584, 0,7522, dan 0,8440.</w:t>
      </w:r>
    </w:p>
    <w:p>
      <w:pPr>
        <w:keepNext/>
        <w:spacing w:before="80" w:after="40"/>
        <w:jc w:val="center"/>
      </w:pPr>
      <w:r>
        <w:rPr>
          <w:rFonts w:ascii="Times New Roman" w:hAnsi="Times New Roman"/>
          <w:color w:val="000000"/>
          <w:sz w:val="16"/>
        </w:rPr>
        <w:t>TABLE I</w:t>
        <w:br/>
      </w:r>
      <w:r>
        <w:rPr>
          <w:rFonts w:ascii="Times New Roman" w:hAnsi="Times New Roman"/>
          <w:color w:val="000000"/>
          <w:sz w:val="16"/>
        </w:rPr>
        <w:t>HASIL 5-FOLD GROUPKFOLD PADA TRAIN-VALIDATION</w:t>
      </w:r>
    </w:p>
    <w:tbl>
      <w:tblPr>
        <w:tblStyle w:val="TableGrid"/>
        <w:tblW w:type="dxa" w:w="4800"/>
        <w:jc w:val="center"/>
        <w:tblLayout w:type="fixed"/>
        <w:tblLook w:firstColumn="1" w:firstRow="1" w:lastColumn="0" w:lastRow="0" w:noHBand="0" w:noVBand="1" w:val="04A0"/>
      </w:tblPr>
      <w:tblGrid>
        <w:gridCol w:w="1100"/>
        <w:gridCol w:w="1233"/>
        <w:gridCol w:w="1233"/>
        <w:gridCol w:w="1234"/>
      </w:tblGrid>
      <w:tr>
        <w:trPr>
          <w:tblHeader/>
        </w:trPr>
        <w:tc>
          <w:tcPr>
            <w:tcW w:type="dxa" w:w="1100"/>
            <w:tcMar>
              <w:top w:w="60" w:type="dxa"/>
              <w:start w:w="80" w:type="dxa"/>
              <w:bottom w:w="60" w:type="dxa"/>
              <w:end w:w="80" w:type="dxa"/>
            </w:tcMar>
            <w:vAlign w:val="center"/>
            <w:shd w:fill="E7E6E6"/>
          </w:tcPr>
          <w:p>
            <w:pPr>
              <w:spacing w:after="0"/>
              <w:jc w:val="left"/>
            </w:pPr>
            <w:r/>
            <w:r>
              <w:rPr>
                <w:rFonts w:ascii="Times New Roman" w:hAnsi="Times New Roman"/>
                <w:b/>
                <w:i w:val="0"/>
                <w:color w:val="000000"/>
                <w:sz w:val="13"/>
              </w:rPr>
              <w:t>Metrik</w:t>
            </w:r>
          </w:p>
        </w:tc>
        <w:tc>
          <w:tcPr>
            <w:tcW w:type="dxa" w:w="1233"/>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Logistic Regression</w:t>
            </w:r>
          </w:p>
        </w:tc>
        <w:tc>
          <w:tcPr>
            <w:tcW w:type="dxa" w:w="1233"/>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Random Forest</w:t>
            </w:r>
          </w:p>
        </w:tc>
        <w:tc>
          <w:tcPr>
            <w:tcW w:type="dxa" w:w="1234"/>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XGBoost</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Accuracy</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0,7496 ± 0,0039</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0,7524 ± 0,0013</w:t>
            </w:r>
          </w:p>
        </w:tc>
        <w:tc>
          <w:tcPr>
            <w:tcW w:type="dxa" w:w="1234"/>
            <w:tcMar>
              <w:top w:w="60" w:type="dxa"/>
              <w:start w:w="80" w:type="dxa"/>
              <w:bottom w:w="60" w:type="dxa"/>
              <w:end w:w="80" w:type="dxa"/>
            </w:tcMar>
            <w:vAlign w:val="center"/>
          </w:tcPr>
          <w:p>
            <w:pPr>
              <w:spacing w:after="0"/>
              <w:jc w:val="center"/>
            </w:pPr>
            <w:r/>
            <w:r>
              <w:rPr>
                <w:rFonts w:ascii="Times New Roman" w:hAnsi="Times New Roman"/>
                <w:b/>
                <w:i w:val="0"/>
                <w:color w:val="000000"/>
                <w:sz w:val="13"/>
              </w:rPr>
              <w:t>0,7584 ± 0,0024</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Precision AtRisk</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0,8090 ± 0,0059</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0,7989 ± 0,0136</w:t>
            </w:r>
          </w:p>
        </w:tc>
        <w:tc>
          <w:tcPr>
            <w:tcW w:type="dxa" w:w="1234"/>
            <w:tcMar>
              <w:top w:w="60" w:type="dxa"/>
              <w:start w:w="80" w:type="dxa"/>
              <w:bottom w:w="60" w:type="dxa"/>
              <w:end w:w="80" w:type="dxa"/>
            </w:tcMar>
            <w:vAlign w:val="center"/>
          </w:tcPr>
          <w:p>
            <w:pPr>
              <w:spacing w:after="0"/>
              <w:jc w:val="center"/>
            </w:pPr>
            <w:r/>
            <w:r>
              <w:rPr>
                <w:rFonts w:ascii="Times New Roman" w:hAnsi="Times New Roman"/>
                <w:b/>
                <w:i w:val="0"/>
                <w:color w:val="000000"/>
                <w:sz w:val="13"/>
              </w:rPr>
              <w:t>0,8215 ± 0,0096</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Recall AtRisk</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0,6889 ± 0,0064</w:t>
            </w:r>
          </w:p>
        </w:tc>
        <w:tc>
          <w:tcPr>
            <w:tcW w:type="dxa" w:w="1233"/>
            <w:tcMar>
              <w:top w:w="60" w:type="dxa"/>
              <w:start w:w="80" w:type="dxa"/>
              <w:bottom w:w="60" w:type="dxa"/>
              <w:end w:w="80" w:type="dxa"/>
            </w:tcMar>
            <w:vAlign w:val="center"/>
          </w:tcPr>
          <w:p>
            <w:pPr>
              <w:spacing w:after="0"/>
              <w:jc w:val="center"/>
            </w:pPr>
            <w:r/>
            <w:r>
              <w:rPr>
                <w:rFonts w:ascii="Times New Roman" w:hAnsi="Times New Roman"/>
                <w:b/>
                <w:i w:val="0"/>
                <w:color w:val="000000"/>
                <w:sz w:val="13"/>
              </w:rPr>
              <w:t>0,7107 ± 0,0085</w:t>
            </w:r>
          </w:p>
        </w:tc>
        <w:tc>
          <w:tcPr>
            <w:tcW w:type="dxa" w:w="1234"/>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0,6938 ± 0,0029</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F1 AtRisk</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0,7442 ± 0,0059</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0,7521 ± 0,0030</w:t>
            </w:r>
          </w:p>
        </w:tc>
        <w:tc>
          <w:tcPr>
            <w:tcW w:type="dxa" w:w="1234"/>
            <w:tcMar>
              <w:top w:w="60" w:type="dxa"/>
              <w:start w:w="80" w:type="dxa"/>
              <w:bottom w:w="60" w:type="dxa"/>
              <w:end w:w="80" w:type="dxa"/>
            </w:tcMar>
            <w:vAlign w:val="center"/>
          </w:tcPr>
          <w:p>
            <w:pPr>
              <w:spacing w:after="0"/>
              <w:jc w:val="center"/>
            </w:pPr>
            <w:r/>
            <w:r>
              <w:rPr>
                <w:rFonts w:ascii="Times New Roman" w:hAnsi="Times New Roman"/>
                <w:b/>
                <w:i w:val="0"/>
                <w:color w:val="000000"/>
                <w:sz w:val="13"/>
              </w:rPr>
              <w:t>0,7522 ± 0,0039</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ROC-AUC</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0,8330 ± 0,0027</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0,8362 ± 0,0023</w:t>
            </w:r>
          </w:p>
        </w:tc>
        <w:tc>
          <w:tcPr>
            <w:tcW w:type="dxa" w:w="1234"/>
            <w:tcMar>
              <w:top w:w="60" w:type="dxa"/>
              <w:start w:w="80" w:type="dxa"/>
              <w:bottom w:w="60" w:type="dxa"/>
              <w:end w:w="80" w:type="dxa"/>
            </w:tcMar>
            <w:vAlign w:val="center"/>
          </w:tcPr>
          <w:p>
            <w:pPr>
              <w:spacing w:after="0"/>
              <w:jc w:val="center"/>
            </w:pPr>
            <w:r/>
            <w:r>
              <w:rPr>
                <w:rFonts w:ascii="Times New Roman" w:hAnsi="Times New Roman"/>
                <w:b/>
                <w:i w:val="0"/>
                <w:color w:val="000000"/>
                <w:sz w:val="13"/>
              </w:rPr>
              <w:t>0,8440 ± 0,0019</w:t>
            </w:r>
          </w:p>
        </w:tc>
      </w:tr>
    </w:tbl>
    <w:p>
      <w:pPr>
        <w:spacing w:before="0" w:after="140" w:line="240" w:lineRule="auto"/>
      </w:pPr>
    </w:p>
    <w:p>
      <w:pPr>
        <w:pStyle w:val="Heading2"/>
        <w:keepNext/>
        <w:spacing w:before="80" w:after="20"/>
        <w:jc w:val="left"/>
      </w:pPr>
      <w:r>
        <w:rPr>
          <w:rFonts w:ascii="Times New Roman" w:hAnsi="Times New Roman"/>
          <w:i/>
          <w:color w:val="000000"/>
          <w:sz w:val="20"/>
        </w:rPr>
        <w:t>C. Hold-Out Test Performance</w:t>
      </w:r>
    </w:p>
    <w:p>
      <w:pPr>
        <w:spacing w:before="0" w:after="20" w:line="240" w:lineRule="auto"/>
        <w:ind w:firstLine="259"/>
        <w:jc w:val="both"/>
      </w:pPr>
      <w:r>
        <w:rPr>
          <w:rFonts w:ascii="Times New Roman" w:hAnsi="Times New Roman"/>
          <w:b w:val="0"/>
          <w:i w:val="0"/>
          <w:color w:val="000000"/>
          <w:sz w:val="20"/>
        </w:rPr>
        <w:t xml:space="preserve">Pada hold-out test, Random Forest mencapai accuracy 0,7594, precision </w:t>
      </w:r>
      <w:r>
        <w:rPr>
          <w:rFonts w:ascii="Times New Roman" w:hAnsi="Times New Roman"/>
          <w:b w:val="0"/>
          <w:i/>
          <w:color w:val="000000"/>
          <w:sz w:val="20"/>
        </w:rPr>
        <w:t>AtRisk</w:t>
      </w:r>
      <w:r>
        <w:rPr>
          <w:rFonts w:ascii="Times New Roman" w:hAnsi="Times New Roman"/>
          <w:b w:val="0"/>
          <w:i w:val="0"/>
          <w:color w:val="000000"/>
          <w:sz w:val="20"/>
        </w:rPr>
        <w:t xml:space="preserve"> 0,8007, recall 0,7213, F1-score 0,7589, dan ROC-AUC 0,8396. XGBoost menghasilkan accuracy dan ROC-AUC tertinggi, sedangkan Random Forest mempertahankan recall </w:t>
      </w:r>
      <w:r>
        <w:rPr>
          <w:rFonts w:ascii="Times New Roman" w:hAnsi="Times New Roman"/>
          <w:b w:val="0"/>
          <w:i/>
          <w:color w:val="000000"/>
          <w:sz w:val="20"/>
        </w:rPr>
        <w:t>AtRisk</w:t>
      </w:r>
      <w:r>
        <w:rPr>
          <w:rFonts w:ascii="Times New Roman" w:hAnsi="Times New Roman"/>
          <w:b w:val="0"/>
          <w:i w:val="0"/>
          <w:color w:val="000000"/>
          <w:sz w:val="20"/>
        </w:rPr>
        <w:t xml:space="preserve"> tertinggi. Dari 3.398 kasus </w:t>
      </w:r>
      <w:r>
        <w:rPr>
          <w:rFonts w:ascii="Times New Roman" w:hAnsi="Times New Roman"/>
          <w:b w:val="0"/>
          <w:i/>
          <w:color w:val="000000"/>
          <w:sz w:val="20"/>
        </w:rPr>
        <w:t>AtRisk</w:t>
      </w:r>
      <w:r>
        <w:rPr>
          <w:rFonts w:ascii="Times New Roman" w:hAnsi="Times New Roman"/>
          <w:b w:val="0"/>
          <w:i w:val="0"/>
          <w:color w:val="000000"/>
          <w:sz w:val="20"/>
        </w:rPr>
        <w:t>, Random Forest mengenali 2.451 kasus dan melewatkan 947 kasus.</w:t>
      </w:r>
    </w:p>
    <w:p>
      <w:pPr>
        <w:keepNext/>
        <w:spacing w:before="80" w:after="40"/>
        <w:jc w:val="center"/>
      </w:pPr>
      <w:r>
        <w:rPr>
          <w:rFonts w:ascii="Times New Roman" w:hAnsi="Times New Roman"/>
          <w:color w:val="000000"/>
          <w:sz w:val="16"/>
        </w:rPr>
        <w:t>TABLE II</w:t>
        <w:br/>
      </w:r>
      <w:r>
        <w:rPr>
          <w:rFonts w:ascii="Times New Roman" w:hAnsi="Times New Roman"/>
          <w:color w:val="000000"/>
          <w:sz w:val="16"/>
        </w:rPr>
        <w:t>PERFORMA MODEL PADA HOLD-OUT TEST</w:t>
      </w:r>
    </w:p>
    <w:tbl>
      <w:tblPr>
        <w:tblStyle w:val="TableGrid"/>
        <w:tblW w:type="dxa" w:w="4800"/>
        <w:jc w:val="center"/>
        <w:tblLayout w:type="fixed"/>
        <w:tblLook w:firstColumn="1" w:firstRow="1" w:lastColumn="0" w:lastRow="0" w:noHBand="0" w:noVBand="1" w:val="04A0"/>
      </w:tblPr>
      <w:tblGrid>
        <w:gridCol w:w="1100"/>
        <w:gridCol w:w="1233"/>
        <w:gridCol w:w="1233"/>
        <w:gridCol w:w="1234"/>
      </w:tblGrid>
      <w:tr>
        <w:trPr>
          <w:tblHeader/>
        </w:trPr>
        <w:tc>
          <w:tcPr>
            <w:tcW w:type="dxa" w:w="1100"/>
            <w:tcMar>
              <w:top w:w="60" w:type="dxa"/>
              <w:start w:w="80" w:type="dxa"/>
              <w:bottom w:w="60" w:type="dxa"/>
              <w:end w:w="80" w:type="dxa"/>
            </w:tcMar>
            <w:vAlign w:val="center"/>
            <w:shd w:fill="E7E6E6"/>
          </w:tcPr>
          <w:p>
            <w:pPr>
              <w:spacing w:after="0"/>
              <w:jc w:val="left"/>
            </w:pPr>
            <w:r/>
            <w:r>
              <w:rPr>
                <w:rFonts w:ascii="Times New Roman" w:hAnsi="Times New Roman"/>
                <w:b/>
                <w:i w:val="0"/>
                <w:color w:val="000000"/>
                <w:sz w:val="13"/>
              </w:rPr>
              <w:t>Metrik</w:t>
            </w:r>
          </w:p>
        </w:tc>
        <w:tc>
          <w:tcPr>
            <w:tcW w:type="dxa" w:w="1233"/>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Logistic Regression</w:t>
            </w:r>
          </w:p>
        </w:tc>
        <w:tc>
          <w:tcPr>
            <w:tcW w:type="dxa" w:w="1233"/>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Random Forest</w:t>
            </w:r>
          </w:p>
        </w:tc>
        <w:tc>
          <w:tcPr>
            <w:tcW w:type="dxa" w:w="1234"/>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XGBoost</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Accuracy</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0,7487</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0,7594</w:t>
            </w:r>
          </w:p>
        </w:tc>
        <w:tc>
          <w:tcPr>
            <w:tcW w:type="dxa" w:w="1234"/>
            <w:tcMar>
              <w:top w:w="60" w:type="dxa"/>
              <w:start w:w="80" w:type="dxa"/>
              <w:bottom w:w="60" w:type="dxa"/>
              <w:end w:w="80" w:type="dxa"/>
            </w:tcMar>
            <w:vAlign w:val="center"/>
          </w:tcPr>
          <w:p>
            <w:pPr>
              <w:spacing w:after="0"/>
              <w:jc w:val="center"/>
            </w:pPr>
            <w:r/>
            <w:r>
              <w:rPr>
                <w:rFonts w:ascii="Times New Roman" w:hAnsi="Times New Roman"/>
                <w:b/>
                <w:i w:val="0"/>
                <w:color w:val="000000"/>
                <w:sz w:val="13"/>
              </w:rPr>
              <w:t>0,7611</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Precision AtRisk</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0,8034</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0,8007</w:t>
            </w:r>
          </w:p>
        </w:tc>
        <w:tc>
          <w:tcPr>
            <w:tcW w:type="dxa" w:w="1234"/>
            <w:tcMar>
              <w:top w:w="60" w:type="dxa"/>
              <w:start w:w="80" w:type="dxa"/>
              <w:bottom w:w="60" w:type="dxa"/>
              <w:end w:w="80" w:type="dxa"/>
            </w:tcMar>
            <w:vAlign w:val="center"/>
          </w:tcPr>
          <w:p>
            <w:pPr>
              <w:spacing w:after="0"/>
              <w:jc w:val="center"/>
            </w:pPr>
            <w:r/>
            <w:r>
              <w:rPr>
                <w:rFonts w:ascii="Times New Roman" w:hAnsi="Times New Roman"/>
                <w:b/>
                <w:i w:val="0"/>
                <w:color w:val="000000"/>
                <w:sz w:val="13"/>
              </w:rPr>
              <w:t>0,8154</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Recall AtRisk</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0,6904</w:t>
            </w:r>
          </w:p>
        </w:tc>
        <w:tc>
          <w:tcPr>
            <w:tcW w:type="dxa" w:w="1233"/>
            <w:tcMar>
              <w:top w:w="60" w:type="dxa"/>
              <w:start w:w="80" w:type="dxa"/>
              <w:bottom w:w="60" w:type="dxa"/>
              <w:end w:w="80" w:type="dxa"/>
            </w:tcMar>
            <w:vAlign w:val="center"/>
          </w:tcPr>
          <w:p>
            <w:pPr>
              <w:spacing w:after="0"/>
              <w:jc w:val="center"/>
            </w:pPr>
            <w:r/>
            <w:r>
              <w:rPr>
                <w:rFonts w:ascii="Times New Roman" w:hAnsi="Times New Roman"/>
                <w:b/>
                <w:i w:val="0"/>
                <w:color w:val="000000"/>
                <w:sz w:val="13"/>
              </w:rPr>
              <w:t>0,7213</w:t>
            </w:r>
          </w:p>
        </w:tc>
        <w:tc>
          <w:tcPr>
            <w:tcW w:type="dxa" w:w="1234"/>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0,7045</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F1 AtRisk</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0,7426</w:t>
            </w:r>
          </w:p>
        </w:tc>
        <w:tc>
          <w:tcPr>
            <w:tcW w:type="dxa" w:w="1233"/>
            <w:tcMar>
              <w:top w:w="60" w:type="dxa"/>
              <w:start w:w="80" w:type="dxa"/>
              <w:bottom w:w="60" w:type="dxa"/>
              <w:end w:w="80" w:type="dxa"/>
            </w:tcMar>
            <w:vAlign w:val="center"/>
          </w:tcPr>
          <w:p>
            <w:pPr>
              <w:spacing w:after="0"/>
              <w:jc w:val="center"/>
            </w:pPr>
            <w:r/>
            <w:r>
              <w:rPr>
                <w:rFonts w:ascii="Times New Roman" w:hAnsi="Times New Roman"/>
                <w:b/>
                <w:i w:val="0"/>
                <w:color w:val="000000"/>
                <w:sz w:val="13"/>
              </w:rPr>
              <w:t>0,7589</w:t>
            </w:r>
          </w:p>
        </w:tc>
        <w:tc>
          <w:tcPr>
            <w:tcW w:type="dxa" w:w="1234"/>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0,7559</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ROC-AUC</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0,8311</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0,8396</w:t>
            </w:r>
          </w:p>
        </w:tc>
        <w:tc>
          <w:tcPr>
            <w:tcW w:type="dxa" w:w="1234"/>
            <w:tcMar>
              <w:top w:w="60" w:type="dxa"/>
              <w:start w:w="80" w:type="dxa"/>
              <w:bottom w:w="60" w:type="dxa"/>
              <w:end w:w="80" w:type="dxa"/>
            </w:tcMar>
            <w:vAlign w:val="center"/>
          </w:tcPr>
          <w:p>
            <w:pPr>
              <w:spacing w:after="0"/>
              <w:jc w:val="center"/>
            </w:pPr>
            <w:r/>
            <w:r>
              <w:rPr>
                <w:rFonts w:ascii="Times New Roman" w:hAnsi="Times New Roman"/>
                <w:b/>
                <w:i w:val="0"/>
                <w:color w:val="000000"/>
                <w:sz w:val="13"/>
              </w:rPr>
              <w:t>0,8443</w:t>
            </w:r>
          </w:p>
        </w:tc>
      </w:tr>
    </w:tbl>
    <w:p>
      <w:pPr>
        <w:spacing w:before="0" w:after="140" w:line="240" w:lineRule="auto"/>
      </w:pPr>
    </w:p>
    <w:p>
      <w:pPr>
        <w:spacing w:before="0" w:after="20" w:line="240" w:lineRule="auto"/>
        <w:ind w:firstLine="259"/>
        <w:jc w:val="both"/>
      </w:pPr>
      <w:r>
        <w:rPr>
          <w:rFonts w:ascii="Times New Roman" w:hAnsi="Times New Roman"/>
          <w:b w:val="0"/>
          <w:i w:val="0"/>
          <w:color w:val="000000"/>
          <w:sz w:val="20"/>
        </w:rPr>
        <w:t xml:space="preserve">Fig. 1 membandingkan metrik ketiga model, Fig. 2 menunjukkan confusion matrix Random Forest, dan Fig. 3 menyajikan kurva ROC. Ketiga model memiliki kurva ROC yang berdekatan. Pemilihan Random Forest mengikuti tujuan early warning yang menempatkan cakupan deteksi </w:t>
      </w:r>
      <w:r>
        <w:rPr>
          <w:rFonts w:ascii="Times New Roman" w:hAnsi="Times New Roman"/>
          <w:b w:val="0"/>
          <w:i/>
          <w:color w:val="000000"/>
          <w:sz w:val="20"/>
        </w:rPr>
        <w:t>AtRisk</w:t>
      </w:r>
      <w:r>
        <w:rPr>
          <w:rFonts w:ascii="Times New Roman" w:hAnsi="Times New Roman"/>
          <w:b w:val="0"/>
          <w:i w:val="0"/>
          <w:color w:val="000000"/>
          <w:sz w:val="20"/>
        </w:rPr>
        <w:t xml:space="preserve"> sebagai prioritas model selection.</w:t>
      </w:r>
    </w:p>
    <w:p>
      <w:pPr>
        <w:keepNext/>
        <w:spacing w:before="80" w:after="20"/>
        <w:jc w:val="center"/>
      </w:pPr>
      <w:r>
        <w:drawing>
          <wp:inline xmlns:a="http://schemas.openxmlformats.org/drawingml/2006/main" xmlns:pic="http://schemas.openxmlformats.org/drawingml/2006/picture">
            <wp:extent cx="2971800" cy="2176023"/>
            <wp:docPr id="1" name="Picture 1" descr="Fig. 1. Perbandingan metrik model pada hold-out test." title="Fig"/>
            <wp:cNvGraphicFramePr>
              <a:graphicFrameLocks noChangeAspect="1"/>
            </wp:cNvGraphicFramePr>
            <a:graphic>
              <a:graphicData uri="http://schemas.openxmlformats.org/drawingml/2006/picture">
                <pic:pic>
                  <pic:nvPicPr>
                    <pic:cNvPr id="0" name="fig-2a-metrics-comparison.png"/>
                    <pic:cNvPicPr/>
                  </pic:nvPicPr>
                  <pic:blipFill>
                    <a:blip r:embed="rId9"/>
                    <a:stretch>
                      <a:fillRect/>
                    </a:stretch>
                  </pic:blipFill>
                  <pic:spPr>
                    <a:xfrm>
                      <a:off x="0" y="0"/>
                      <a:ext cx="2971800" cy="2176023"/>
                    </a:xfrm>
                    <a:prstGeom prst="rect"/>
                  </pic:spPr>
                </pic:pic>
              </a:graphicData>
            </a:graphic>
          </wp:inline>
        </w:drawing>
      </w:r>
    </w:p>
    <w:p>
      <w:pPr>
        <w:keepLines/>
        <w:spacing w:before="20" w:after="80"/>
        <w:jc w:val="center"/>
      </w:pPr>
      <w:r>
        <w:rPr>
          <w:rFonts w:ascii="Times New Roman" w:hAnsi="Times New Roman"/>
          <w:b w:val="0"/>
          <w:i w:val="0"/>
          <w:color w:val="000000"/>
          <w:sz w:val="16"/>
        </w:rPr>
        <w:t>Fig. 1. Perbandingan metrik model pada hold-out test.</w:t>
      </w:r>
    </w:p>
    <w:p>
      <w:pPr>
        <w:keepNext/>
        <w:spacing w:before="80" w:after="20"/>
        <w:jc w:val="center"/>
      </w:pPr>
      <w:r>
        <w:drawing>
          <wp:inline xmlns:a="http://schemas.openxmlformats.org/drawingml/2006/main" xmlns:pic="http://schemas.openxmlformats.org/drawingml/2006/picture">
            <wp:extent cx="2971800" cy="2286727"/>
            <wp:docPr id="2" name="Picture 2" descr="Fig. 2. Confusion matrix Random Forest pada hold-out test." title="Fig"/>
            <wp:cNvGraphicFramePr>
              <a:graphicFrameLocks noChangeAspect="1"/>
            </wp:cNvGraphicFramePr>
            <a:graphic>
              <a:graphicData uri="http://schemas.openxmlformats.org/drawingml/2006/picture">
                <pic:pic>
                  <pic:nvPicPr>
                    <pic:cNvPr id="0" name="fig-2b-confusion-matrix.png"/>
                    <pic:cNvPicPr/>
                  </pic:nvPicPr>
                  <pic:blipFill>
                    <a:blip r:embed="rId10"/>
                    <a:stretch>
                      <a:fillRect/>
                    </a:stretch>
                  </pic:blipFill>
                  <pic:spPr>
                    <a:xfrm>
                      <a:off x="0" y="0"/>
                      <a:ext cx="2971800" cy="2286727"/>
                    </a:xfrm>
                    <a:prstGeom prst="rect"/>
                  </pic:spPr>
                </pic:pic>
              </a:graphicData>
            </a:graphic>
          </wp:inline>
        </w:drawing>
      </w:r>
    </w:p>
    <w:p>
      <w:pPr>
        <w:keepLines/>
        <w:spacing w:before="20" w:after="80"/>
        <w:jc w:val="center"/>
      </w:pPr>
      <w:r>
        <w:rPr>
          <w:rFonts w:ascii="Times New Roman" w:hAnsi="Times New Roman"/>
          <w:b w:val="0"/>
          <w:i w:val="0"/>
          <w:color w:val="000000"/>
          <w:sz w:val="16"/>
        </w:rPr>
        <w:t>Fig. 2. Confusion matrix Random Forest pada hold-out test.</w:t>
      </w:r>
    </w:p>
    <w:p>
      <w:pPr>
        <w:keepNext/>
        <w:spacing w:before="80" w:after="20"/>
        <w:jc w:val="center"/>
      </w:pPr>
      <w:r>
        <w:drawing>
          <wp:inline xmlns:a="http://schemas.openxmlformats.org/drawingml/2006/main" xmlns:pic="http://schemas.openxmlformats.org/drawingml/2006/picture">
            <wp:extent cx="2971800" cy="2102853"/>
            <wp:docPr id="3" name="Picture 3" descr="Fig. 3. Kurva ROC model pada hold-out test." title="Fig"/>
            <wp:cNvGraphicFramePr>
              <a:graphicFrameLocks noChangeAspect="1"/>
            </wp:cNvGraphicFramePr>
            <a:graphic>
              <a:graphicData uri="http://schemas.openxmlformats.org/drawingml/2006/picture">
                <pic:pic>
                  <pic:nvPicPr>
                    <pic:cNvPr id="0" name="fig-2c-roc-curve.png"/>
                    <pic:cNvPicPr/>
                  </pic:nvPicPr>
                  <pic:blipFill>
                    <a:blip r:embed="rId11"/>
                    <a:stretch>
                      <a:fillRect/>
                    </a:stretch>
                  </pic:blipFill>
                  <pic:spPr>
                    <a:xfrm>
                      <a:off x="0" y="0"/>
                      <a:ext cx="2971800" cy="2102853"/>
                    </a:xfrm>
                    <a:prstGeom prst="rect"/>
                  </pic:spPr>
                </pic:pic>
              </a:graphicData>
            </a:graphic>
          </wp:inline>
        </w:drawing>
      </w:r>
    </w:p>
    <w:p>
      <w:pPr>
        <w:keepLines/>
        <w:spacing w:before="20" w:after="80"/>
        <w:jc w:val="center"/>
      </w:pPr>
      <w:r>
        <w:rPr>
          <w:rFonts w:ascii="Times New Roman" w:hAnsi="Times New Roman"/>
          <w:b w:val="0"/>
          <w:i w:val="0"/>
          <w:color w:val="000000"/>
          <w:sz w:val="16"/>
        </w:rPr>
        <w:t>Fig. 3. Kurva ROC model pada hold-out test.</w:t>
      </w:r>
    </w:p>
    <w:p>
      <w:pPr>
        <w:pStyle w:val="Heading2"/>
        <w:keepNext/>
        <w:spacing w:before="80" w:after="20"/>
        <w:jc w:val="left"/>
      </w:pPr>
      <w:r>
        <w:rPr>
          <w:rFonts w:ascii="Times New Roman" w:hAnsi="Times New Roman"/>
          <w:i/>
          <w:color w:val="000000"/>
          <w:sz w:val="20"/>
        </w:rPr>
        <w:t>D. Feature Importance</w:t>
      </w:r>
    </w:p>
    <w:p>
      <w:pPr>
        <w:spacing w:before="0" w:after="20" w:line="240" w:lineRule="auto"/>
        <w:ind w:firstLine="259"/>
        <w:jc w:val="both"/>
      </w:pPr>
      <w:r>
        <w:rPr>
          <w:rFonts w:ascii="Times New Roman" w:hAnsi="Times New Roman"/>
          <w:b w:val="0"/>
          <w:i w:val="0"/>
          <w:color w:val="000000"/>
          <w:sz w:val="20"/>
        </w:rPr>
        <w:t>Kontribusi fitur Random Forest didominasi sinyal perilaku awal. Total klik VLE, hari aktivitas terakhir, jumlah hari aktif, dan ragam situs yang diakses muncul sebagai prediktor teratas, diikuti fitur assessment dan registrasi. Nilai importance menunjukkan kontribusi prediktif global; interpretasi hubungan sebab akibat memerlukan desain penelitian kausal.</w:t>
      </w:r>
    </w:p>
    <w:p>
      <w:pPr>
        <w:keepNext/>
        <w:spacing w:before="80" w:after="20"/>
        <w:jc w:val="center"/>
      </w:pPr>
      <w:r>
        <w:drawing>
          <wp:inline xmlns:a="http://schemas.openxmlformats.org/drawingml/2006/main" xmlns:pic="http://schemas.openxmlformats.org/drawingml/2006/picture">
            <wp:extent cx="2971800" cy="1763751"/>
            <wp:docPr id="4" name="Picture 4" descr="Fig. 4. Lima belas fitur dengan feature importance tertinggi pada Random Forest." title="Fig"/>
            <wp:cNvGraphicFramePr>
              <a:graphicFrameLocks noChangeAspect="1"/>
            </wp:cNvGraphicFramePr>
            <a:graphic>
              <a:graphicData uri="http://schemas.openxmlformats.org/drawingml/2006/picture">
                <pic:pic>
                  <pic:nvPicPr>
                    <pic:cNvPr id="0" name="fig-3-feature-importance.png"/>
                    <pic:cNvPicPr/>
                  </pic:nvPicPr>
                  <pic:blipFill>
                    <a:blip r:embed="rId12"/>
                    <a:stretch>
                      <a:fillRect/>
                    </a:stretch>
                  </pic:blipFill>
                  <pic:spPr>
                    <a:xfrm>
                      <a:off x="0" y="0"/>
                      <a:ext cx="2971800" cy="1763751"/>
                    </a:xfrm>
                    <a:prstGeom prst="rect"/>
                  </pic:spPr>
                </pic:pic>
              </a:graphicData>
            </a:graphic>
          </wp:inline>
        </w:drawing>
      </w:r>
    </w:p>
    <w:p>
      <w:pPr>
        <w:keepLines/>
        <w:spacing w:before="20" w:after="80"/>
        <w:jc w:val="center"/>
      </w:pPr>
      <w:r>
        <w:rPr>
          <w:rFonts w:ascii="Times New Roman" w:hAnsi="Times New Roman"/>
          <w:b w:val="0"/>
          <w:i w:val="0"/>
          <w:color w:val="000000"/>
          <w:sz w:val="16"/>
        </w:rPr>
        <w:t>Fig. 4. Lima belas fitur dengan feature importance tertinggi pada Random Forest.</w:t>
      </w:r>
    </w:p>
    <w:p>
      <w:pPr>
        <w:pStyle w:val="Heading2"/>
        <w:keepNext/>
        <w:spacing w:before="80" w:after="20"/>
        <w:jc w:val="left"/>
      </w:pPr>
      <w:r>
        <w:rPr>
          <w:rFonts w:ascii="Times New Roman" w:hAnsi="Times New Roman"/>
          <w:i/>
          <w:color w:val="000000"/>
          <w:sz w:val="20"/>
        </w:rPr>
        <w:t>E. Benchmark with OULAD Studies</w:t>
      </w:r>
    </w:p>
    <w:p>
      <w:pPr>
        <w:spacing w:before="0" w:after="20" w:line="240" w:lineRule="auto"/>
        <w:ind w:firstLine="259"/>
        <w:jc w:val="both"/>
      </w:pPr>
      <w:r>
        <w:rPr>
          <w:rFonts w:ascii="Times New Roman" w:hAnsi="Times New Roman"/>
          <w:b w:val="0"/>
          <w:i w:val="0"/>
          <w:color w:val="000000"/>
          <w:sz w:val="20"/>
        </w:rPr>
        <w:t xml:space="preserve">Fig. 5 menempatkan hasil penelitian dalam konteks lima studi OULAD. Shou et al. memakai target biner yang sama pada 20% durasi course [5]. Jawad et al. menggunakan data sampai 260 hari dan SMOTE [6], Balabied dan Eid menggunakan Random Forest [7], sedangkan Ujkani et al. [8] dan Alnasyan et al. [9] menggabungkan </w:t>
      </w:r>
      <w:r>
        <w:rPr>
          <w:rFonts w:ascii="Times New Roman" w:hAnsi="Times New Roman"/>
          <w:b w:val="0"/>
          <w:i/>
          <w:color w:val="000000"/>
          <w:sz w:val="20"/>
        </w:rPr>
        <w:t>Fail</w:t>
      </w:r>
      <w:r>
        <w:rPr>
          <w:rFonts w:ascii="Times New Roman" w:hAnsi="Times New Roman"/>
          <w:b w:val="0"/>
          <w:i w:val="0"/>
          <w:color w:val="000000"/>
          <w:sz w:val="20"/>
        </w:rPr>
        <w:t xml:space="preserve"> serta </w:t>
      </w:r>
      <w:r>
        <w:rPr>
          <w:rFonts w:ascii="Times New Roman" w:hAnsi="Times New Roman"/>
          <w:b w:val="0"/>
          <w:i/>
          <w:color w:val="000000"/>
          <w:sz w:val="20"/>
        </w:rPr>
        <w:t>Withdrawn</w:t>
      </w:r>
      <w:r>
        <w:rPr>
          <w:rFonts w:ascii="Times New Roman" w:hAnsi="Times New Roman"/>
          <w:b w:val="0"/>
          <w:i w:val="0"/>
          <w:color w:val="000000"/>
          <w:sz w:val="20"/>
        </w:rPr>
        <w:t xml:space="preserve"> sebagai kelompok at-risk. Grafik menyajikan nilai yang dilaporkan setiap studi sebagai benchmark kontekstual karena horizon, split, balancing, dan model yang digunakan berbeda.</w:t>
      </w:r>
    </w:p>
    <w:p>
      <w:pPr>
        <w:keepNext/>
        <w:spacing w:before="80" w:after="20"/>
        <w:jc w:val="center"/>
      </w:pPr>
      <w:r>
        <w:drawing>
          <wp:inline xmlns:a="http://schemas.openxmlformats.org/drawingml/2006/main" xmlns:pic="http://schemas.openxmlformats.org/drawingml/2006/picture">
            <wp:extent cx="2971800" cy="2203784"/>
            <wp:docPr id="5" name="Picture 5" descr="Fig. 5. Benchmark accuracy dan F1-score penelitian berbasis OULAD. Perbandingan bersifat kontekstual karena perbedaan horizon, data split, balancing, dan model." title="Fig"/>
            <wp:cNvGraphicFramePr>
              <a:graphicFrameLocks noChangeAspect="1"/>
            </wp:cNvGraphicFramePr>
            <a:graphic>
              <a:graphicData uri="http://schemas.openxmlformats.org/drawingml/2006/picture">
                <pic:pic>
                  <pic:nvPicPr>
                    <pic:cNvPr id="0" name="fig-5-oulad-benchmark.png"/>
                    <pic:cNvPicPr/>
                  </pic:nvPicPr>
                  <pic:blipFill>
                    <a:blip r:embed="rId13"/>
                    <a:stretch>
                      <a:fillRect/>
                    </a:stretch>
                  </pic:blipFill>
                  <pic:spPr>
                    <a:xfrm>
                      <a:off x="0" y="0"/>
                      <a:ext cx="2971800" cy="2203784"/>
                    </a:xfrm>
                    <a:prstGeom prst="rect"/>
                  </pic:spPr>
                </pic:pic>
              </a:graphicData>
            </a:graphic>
          </wp:inline>
        </w:drawing>
      </w:r>
    </w:p>
    <w:p>
      <w:pPr>
        <w:keepLines/>
        <w:spacing w:before="20" w:after="80"/>
        <w:jc w:val="center"/>
      </w:pPr>
      <w:r>
        <w:rPr>
          <w:rFonts w:ascii="Times New Roman" w:hAnsi="Times New Roman"/>
          <w:b w:val="0"/>
          <w:i w:val="0"/>
          <w:color w:val="000000"/>
          <w:sz w:val="16"/>
        </w:rPr>
        <w:t>Fig. 5. Benchmark accuracy dan F1-score penelitian berbasis OULAD. Perbandingan bersifat kontekstual karena perbedaan horizon, data split, balancing, dan model.</w:t>
      </w:r>
    </w:p>
    <w:p>
      <w:pPr>
        <w:pStyle w:val="Heading2"/>
        <w:keepNext/>
        <w:spacing w:before="80" w:after="20"/>
        <w:jc w:val="left"/>
      </w:pPr>
      <w:r>
        <w:rPr>
          <w:rFonts w:ascii="Times New Roman" w:hAnsi="Times New Roman"/>
          <w:i/>
          <w:color w:val="000000"/>
          <w:sz w:val="20"/>
        </w:rPr>
        <w:t>F. Knowledge-Based Risk Layer and BI Output</w:t>
      </w:r>
    </w:p>
    <w:p>
      <w:pPr>
        <w:spacing w:before="0" w:after="20" w:line="240" w:lineRule="auto"/>
        <w:ind w:firstLine="259"/>
        <w:jc w:val="both"/>
      </w:pPr>
      <w:r>
        <w:rPr>
          <w:rFonts w:ascii="Times New Roman" w:hAnsi="Times New Roman"/>
          <w:b w:val="0"/>
          <w:i w:val="0"/>
          <w:color w:val="000000"/>
          <w:sz w:val="20"/>
        </w:rPr>
        <w:t xml:space="preserve">Threshold kuartil bawah train-validation adalah skor assessment 0, jumlah assessment 0, total klik VLE 47, dan hari aktif VLE 4. Knowledge layer menghasilkan 1.816 </w:t>
      </w:r>
      <w:r>
        <w:rPr>
          <w:rFonts w:ascii="Times New Roman" w:hAnsi="Times New Roman"/>
          <w:b w:val="0"/>
          <w:i/>
          <w:color w:val="000000"/>
          <w:sz w:val="20"/>
        </w:rPr>
        <w:t>High Risk</w:t>
      </w:r>
      <w:r>
        <w:rPr>
          <w:rFonts w:ascii="Times New Roman" w:hAnsi="Times New Roman"/>
          <w:b w:val="0"/>
          <w:i w:val="0"/>
          <w:color w:val="000000"/>
          <w:sz w:val="20"/>
        </w:rPr>
        <w:t xml:space="preserve">, 1.979 </w:t>
      </w:r>
      <w:r>
        <w:rPr>
          <w:rFonts w:ascii="Times New Roman" w:hAnsi="Times New Roman"/>
          <w:b w:val="0"/>
          <w:i/>
          <w:color w:val="000000"/>
          <w:sz w:val="20"/>
        </w:rPr>
        <w:t>Medium Risk</w:t>
      </w:r>
      <w:r>
        <w:rPr>
          <w:rFonts w:ascii="Times New Roman" w:hAnsi="Times New Roman"/>
          <w:b w:val="0"/>
          <w:i w:val="0"/>
          <w:color w:val="000000"/>
          <w:sz w:val="20"/>
        </w:rPr>
        <w:t xml:space="preserve">, dan 2.676 </w:t>
      </w:r>
      <w:r>
        <w:rPr>
          <w:rFonts w:ascii="Times New Roman" w:hAnsi="Times New Roman"/>
          <w:b w:val="0"/>
          <w:i/>
          <w:color w:val="000000"/>
          <w:sz w:val="20"/>
        </w:rPr>
        <w:t>Low Risk</w:t>
      </w:r>
      <w:r>
        <w:rPr>
          <w:rFonts w:ascii="Times New Roman" w:hAnsi="Times New Roman"/>
          <w:b w:val="0"/>
          <w:i w:val="0"/>
          <w:color w:val="000000"/>
          <w:sz w:val="20"/>
        </w:rPr>
        <w:t xml:space="preserve">. Ketika </w:t>
      </w:r>
      <w:r>
        <w:rPr>
          <w:rFonts w:ascii="Times New Roman" w:hAnsi="Times New Roman"/>
          <w:b w:val="0"/>
          <w:i/>
          <w:color w:val="000000"/>
          <w:sz w:val="20"/>
        </w:rPr>
        <w:t>High Risk</w:t>
      </w:r>
      <w:r>
        <w:rPr>
          <w:rFonts w:ascii="Times New Roman" w:hAnsi="Times New Roman"/>
          <w:b w:val="0"/>
          <w:i w:val="0"/>
          <w:color w:val="000000"/>
          <w:sz w:val="20"/>
        </w:rPr>
        <w:t xml:space="preserve"> serta </w:t>
      </w:r>
      <w:r>
        <w:rPr>
          <w:rFonts w:ascii="Times New Roman" w:hAnsi="Times New Roman"/>
          <w:b w:val="0"/>
          <w:i/>
          <w:color w:val="000000"/>
          <w:sz w:val="20"/>
        </w:rPr>
        <w:t>Medium Risk</w:t>
      </w:r>
      <w:r>
        <w:rPr>
          <w:rFonts w:ascii="Times New Roman" w:hAnsi="Times New Roman"/>
          <w:b w:val="0"/>
          <w:i w:val="0"/>
          <w:color w:val="000000"/>
          <w:sz w:val="20"/>
        </w:rPr>
        <w:t xml:space="preserve"> dipetakan sebagai alarm </w:t>
      </w:r>
      <w:r>
        <w:rPr>
          <w:rFonts w:ascii="Times New Roman" w:hAnsi="Times New Roman"/>
          <w:b w:val="0"/>
          <w:i/>
          <w:color w:val="000000"/>
          <w:sz w:val="20"/>
        </w:rPr>
        <w:t>AtRisk</w:t>
      </w:r>
      <w:r>
        <w:rPr>
          <w:rFonts w:ascii="Times New Roman" w:hAnsi="Times New Roman"/>
          <w:b w:val="0"/>
          <w:i w:val="0"/>
          <w:color w:val="000000"/>
          <w:sz w:val="20"/>
        </w:rPr>
        <w:t>, recall meningkat dari 0,7213 menjadi 0,7866; precision berubah dari 0,8007 menjadi 0,7043. Perubahan tersebut memperluas cakupan alarm dan menambah kebutuhan verifikasi stakeholder.</w:t>
      </w:r>
    </w:p>
    <w:p>
      <w:pPr>
        <w:keepNext/>
        <w:spacing w:before="80" w:after="40"/>
        <w:jc w:val="center"/>
      </w:pPr>
      <w:r>
        <w:rPr>
          <w:rFonts w:ascii="Times New Roman" w:hAnsi="Times New Roman"/>
          <w:color w:val="000000"/>
          <w:sz w:val="16"/>
        </w:rPr>
        <w:t>TABLE III</w:t>
        <w:br/>
      </w:r>
      <w:r>
        <w:rPr>
          <w:rFonts w:ascii="Times New Roman" w:hAnsi="Times New Roman"/>
          <w:color w:val="000000"/>
          <w:sz w:val="16"/>
        </w:rPr>
        <w:t>PERBANDINGAN MODEL DAN KNOWLEDGE-BASED RISK LAYER</w:t>
      </w:r>
    </w:p>
    <w:tbl>
      <w:tblPr>
        <w:tblStyle w:val="TableGrid"/>
        <w:tblW w:type="dxa" w:w="4800"/>
        <w:jc w:val="center"/>
        <w:tblLayout w:type="fixed"/>
        <w:tblLook w:firstColumn="1" w:firstRow="1" w:lastColumn="0" w:lastRow="0" w:noHBand="0" w:noVBand="1" w:val="04A0"/>
      </w:tblPr>
      <w:tblGrid>
        <w:gridCol w:w="1400"/>
        <w:gridCol w:w="1700"/>
        <w:gridCol w:w="1700"/>
      </w:tblGrid>
      <w:tr>
        <w:trPr>
          <w:tblHeader/>
        </w:trPr>
        <w:tc>
          <w:tcPr>
            <w:tcW w:type="dxa" w:w="1400"/>
            <w:tcMar>
              <w:top w:w="60" w:type="dxa"/>
              <w:start w:w="80" w:type="dxa"/>
              <w:bottom w:w="60" w:type="dxa"/>
              <w:end w:w="80" w:type="dxa"/>
            </w:tcMar>
            <w:vAlign w:val="center"/>
            <w:shd w:fill="E7E6E6"/>
          </w:tcPr>
          <w:p>
            <w:pPr>
              <w:spacing w:after="0"/>
              <w:jc w:val="left"/>
            </w:pPr>
            <w:r/>
            <w:r>
              <w:rPr>
                <w:rFonts w:ascii="Times New Roman" w:hAnsi="Times New Roman"/>
                <w:b/>
                <w:i w:val="0"/>
                <w:color w:val="000000"/>
                <w:sz w:val="13"/>
              </w:rPr>
              <w:t>Metrik</w:t>
            </w:r>
          </w:p>
        </w:tc>
        <w:tc>
          <w:tcPr>
            <w:tcW w:type="dxa" w:w="1700"/>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Random Forest</w:t>
            </w:r>
          </w:p>
        </w:tc>
        <w:tc>
          <w:tcPr>
            <w:tcW w:type="dxa" w:w="1700"/>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RF + Knowledge Layer</w:t>
            </w:r>
          </w:p>
        </w:tc>
      </w:tr>
      <w:tr>
        <w:tc>
          <w:tcPr>
            <w:tcW w:type="dxa" w:w="14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Accuracy</w:t>
            </w:r>
          </w:p>
        </w:tc>
        <w:tc>
          <w:tcPr>
            <w:tcW w:type="dxa" w:w="1700"/>
            <w:tcMar>
              <w:top w:w="60" w:type="dxa"/>
              <w:start w:w="80" w:type="dxa"/>
              <w:bottom w:w="60" w:type="dxa"/>
              <w:end w:w="80" w:type="dxa"/>
            </w:tcMar>
            <w:vAlign w:val="center"/>
          </w:tcPr>
          <w:p>
            <w:pPr>
              <w:spacing w:after="0"/>
              <w:jc w:val="center"/>
            </w:pPr>
            <w:r/>
            <w:r>
              <w:rPr>
                <w:rFonts w:ascii="Times New Roman" w:hAnsi="Times New Roman"/>
                <w:b/>
                <w:i w:val="0"/>
                <w:color w:val="000000"/>
                <w:sz w:val="13"/>
              </w:rPr>
              <w:t>0,7594</w:t>
            </w:r>
          </w:p>
        </w:tc>
        <w:tc>
          <w:tcPr>
            <w:tcW w:type="dxa" w:w="1700"/>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0,7146</w:t>
            </w:r>
          </w:p>
        </w:tc>
      </w:tr>
      <w:tr>
        <w:tc>
          <w:tcPr>
            <w:tcW w:type="dxa" w:w="14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Precision AtRisk</w:t>
            </w:r>
          </w:p>
        </w:tc>
        <w:tc>
          <w:tcPr>
            <w:tcW w:type="dxa" w:w="1700"/>
            <w:tcMar>
              <w:top w:w="60" w:type="dxa"/>
              <w:start w:w="80" w:type="dxa"/>
              <w:bottom w:w="60" w:type="dxa"/>
              <w:end w:w="80" w:type="dxa"/>
            </w:tcMar>
            <w:vAlign w:val="center"/>
          </w:tcPr>
          <w:p>
            <w:pPr>
              <w:spacing w:after="0"/>
              <w:jc w:val="center"/>
            </w:pPr>
            <w:r/>
            <w:r>
              <w:rPr>
                <w:rFonts w:ascii="Times New Roman" w:hAnsi="Times New Roman"/>
                <w:b/>
                <w:i w:val="0"/>
                <w:color w:val="000000"/>
                <w:sz w:val="13"/>
              </w:rPr>
              <w:t>0,8007</w:t>
            </w:r>
          </w:p>
        </w:tc>
        <w:tc>
          <w:tcPr>
            <w:tcW w:type="dxa" w:w="1700"/>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0,7043</w:t>
            </w:r>
          </w:p>
        </w:tc>
      </w:tr>
      <w:tr>
        <w:tc>
          <w:tcPr>
            <w:tcW w:type="dxa" w:w="14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Recall AtRisk</w:t>
            </w:r>
          </w:p>
        </w:tc>
        <w:tc>
          <w:tcPr>
            <w:tcW w:type="dxa" w:w="1700"/>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0,7213</w:t>
            </w:r>
          </w:p>
        </w:tc>
        <w:tc>
          <w:tcPr>
            <w:tcW w:type="dxa" w:w="1700"/>
            <w:tcMar>
              <w:top w:w="60" w:type="dxa"/>
              <w:start w:w="80" w:type="dxa"/>
              <w:bottom w:w="60" w:type="dxa"/>
              <w:end w:w="80" w:type="dxa"/>
            </w:tcMar>
            <w:vAlign w:val="center"/>
          </w:tcPr>
          <w:p>
            <w:pPr>
              <w:spacing w:after="0"/>
              <w:jc w:val="center"/>
            </w:pPr>
            <w:r/>
            <w:r>
              <w:rPr>
                <w:rFonts w:ascii="Times New Roman" w:hAnsi="Times New Roman"/>
                <w:b/>
                <w:i w:val="0"/>
                <w:color w:val="000000"/>
                <w:sz w:val="13"/>
              </w:rPr>
              <w:t>0,7866</w:t>
            </w:r>
          </w:p>
        </w:tc>
      </w:tr>
      <w:tr>
        <w:tc>
          <w:tcPr>
            <w:tcW w:type="dxa" w:w="14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F1 AtRisk</w:t>
            </w:r>
          </w:p>
        </w:tc>
        <w:tc>
          <w:tcPr>
            <w:tcW w:type="dxa" w:w="1700"/>
            <w:tcMar>
              <w:top w:w="60" w:type="dxa"/>
              <w:start w:w="80" w:type="dxa"/>
              <w:bottom w:w="60" w:type="dxa"/>
              <w:end w:w="80" w:type="dxa"/>
            </w:tcMar>
            <w:vAlign w:val="center"/>
          </w:tcPr>
          <w:p>
            <w:pPr>
              <w:spacing w:after="0"/>
              <w:jc w:val="center"/>
            </w:pPr>
            <w:r/>
            <w:r>
              <w:rPr>
                <w:rFonts w:ascii="Times New Roman" w:hAnsi="Times New Roman"/>
                <w:b/>
                <w:i w:val="0"/>
                <w:color w:val="000000"/>
                <w:sz w:val="13"/>
              </w:rPr>
              <w:t>0,7589</w:t>
            </w:r>
          </w:p>
        </w:tc>
        <w:tc>
          <w:tcPr>
            <w:tcW w:type="dxa" w:w="1700"/>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0,7432</w:t>
            </w:r>
          </w:p>
        </w:tc>
      </w:tr>
    </w:tbl>
    <w:p>
      <w:pPr>
        <w:spacing w:before="0" w:after="140" w:line="240" w:lineRule="auto"/>
      </w:pPr>
    </w:p>
    <w:p>
      <w:pPr>
        <w:spacing w:before="0" w:after="20" w:line="240" w:lineRule="auto"/>
        <w:ind w:firstLine="259"/>
        <w:jc w:val="both"/>
      </w:pPr>
      <w:r>
        <w:rPr>
          <w:rFonts w:ascii="Times New Roman" w:hAnsi="Times New Roman"/>
          <w:b w:val="0"/>
          <w:i w:val="0"/>
          <w:color w:val="000000"/>
          <w:sz w:val="20"/>
        </w:rPr>
        <w:t xml:space="preserve">Dashboard pada Fig. 6 mengidentifikasi 3.795 student-module-presentation dalam antrean </w:t>
      </w:r>
      <w:r>
        <w:rPr>
          <w:rFonts w:ascii="Times New Roman" w:hAnsi="Times New Roman"/>
          <w:b w:val="0"/>
          <w:i/>
          <w:color w:val="000000"/>
          <w:sz w:val="20"/>
        </w:rPr>
        <w:t>High Risk</w:t>
      </w:r>
      <w:r>
        <w:rPr>
          <w:rFonts w:ascii="Times New Roman" w:hAnsi="Times New Roman"/>
          <w:b w:val="0"/>
          <w:i w:val="0"/>
          <w:color w:val="000000"/>
          <w:sz w:val="20"/>
        </w:rPr>
        <w:t xml:space="preserve"> atau </w:t>
      </w:r>
      <w:r>
        <w:rPr>
          <w:rFonts w:ascii="Times New Roman" w:hAnsi="Times New Roman"/>
          <w:b w:val="0"/>
          <w:i/>
          <w:color w:val="000000"/>
          <w:sz w:val="20"/>
        </w:rPr>
        <w:t>Medium Risk</w:t>
      </w:r>
      <w:r>
        <w:rPr>
          <w:rFonts w:ascii="Times New Roman" w:hAnsi="Times New Roman"/>
          <w:b w:val="0"/>
          <w:i w:val="0"/>
          <w:color w:val="000000"/>
          <w:sz w:val="20"/>
        </w:rPr>
        <w:t xml:space="preserve">. Sinyal terbanyak adalah skor assessment rendah dengan 2.341 kasus. Daftar prioritas memuat identitas anonim, module-presentation, probabilitas </w:t>
      </w:r>
      <w:r>
        <w:rPr>
          <w:rFonts w:ascii="Times New Roman" w:hAnsi="Times New Roman"/>
          <w:b w:val="0"/>
          <w:i/>
          <w:color w:val="000000"/>
          <w:sz w:val="20"/>
        </w:rPr>
        <w:t>AtRisk</w:t>
      </w:r>
      <w:r>
        <w:rPr>
          <w:rFonts w:ascii="Times New Roman" w:hAnsi="Times New Roman"/>
          <w:b w:val="0"/>
          <w:i w:val="0"/>
          <w:color w:val="000000"/>
          <w:sz w:val="20"/>
        </w:rPr>
        <w:t>, level, jumlah sinyal, alasan, dan rekomendasi. Struktur ini menghubungkan evaluasi teknis dengan monitoring module-presentation dan tindak lanjut tingkat mahasiswa.</w:t>
      </w:r>
    </w:p>
    <w:p>
      <w:pPr>
        <w:keepNext/>
        <w:spacing w:before="80" w:after="20"/>
        <w:jc w:val="center"/>
      </w:pPr>
      <w:r>
        <w:drawing>
          <wp:inline xmlns:a="http://schemas.openxmlformats.org/drawingml/2006/main" xmlns:pic="http://schemas.openxmlformats.org/drawingml/2006/picture">
            <wp:extent cx="2971800" cy="2676246"/>
            <wp:docPr id="6" name="Picture 6" descr="Fig. 6. Dashboard early warning OULAD pada akhir minggu keempat." title="Fig"/>
            <wp:cNvGraphicFramePr>
              <a:graphicFrameLocks noChangeAspect="1"/>
            </wp:cNvGraphicFramePr>
            <a:graphic>
              <a:graphicData uri="http://schemas.openxmlformats.org/drawingml/2006/picture">
                <pic:pic>
                  <pic:nvPicPr>
                    <pic:cNvPr id="0" name="fig-4-dashboard-dvbi.png"/>
                    <pic:cNvPicPr/>
                  </pic:nvPicPr>
                  <pic:blipFill>
                    <a:blip r:embed="rId14"/>
                    <a:stretch>
                      <a:fillRect/>
                    </a:stretch>
                  </pic:blipFill>
                  <pic:spPr>
                    <a:xfrm>
                      <a:off x="0" y="0"/>
                      <a:ext cx="2971800" cy="2676246"/>
                    </a:xfrm>
                    <a:prstGeom prst="rect"/>
                  </pic:spPr>
                </pic:pic>
              </a:graphicData>
            </a:graphic>
          </wp:inline>
        </w:drawing>
      </w:r>
    </w:p>
    <w:p>
      <w:pPr>
        <w:keepLines/>
        <w:spacing w:before="20" w:after="80"/>
        <w:jc w:val="center"/>
      </w:pPr>
      <w:r>
        <w:rPr>
          <w:rFonts w:ascii="Times New Roman" w:hAnsi="Times New Roman"/>
          <w:b w:val="0"/>
          <w:i w:val="0"/>
          <w:color w:val="000000"/>
          <w:sz w:val="16"/>
        </w:rPr>
        <w:t>Fig. 6. Dashboard early warning OULAD pada akhir minggu keempat.</w:t>
      </w:r>
    </w:p>
    <w:p>
      <w:pPr>
        <w:pStyle w:val="Heading2"/>
        <w:keepNext/>
        <w:spacing w:before="80" w:after="20"/>
        <w:jc w:val="left"/>
      </w:pPr>
      <w:r>
        <w:rPr>
          <w:rFonts w:ascii="Times New Roman" w:hAnsi="Times New Roman"/>
          <w:i/>
          <w:color w:val="000000"/>
          <w:sz w:val="20"/>
        </w:rPr>
        <w:t>G. Discussion and Limitations</w:t>
      </w:r>
    </w:p>
    <w:p>
      <w:pPr>
        <w:spacing w:before="0" w:after="20" w:line="240" w:lineRule="auto"/>
        <w:ind w:firstLine="259"/>
        <w:jc w:val="both"/>
      </w:pPr>
      <w:r>
        <w:rPr>
          <w:rFonts w:ascii="Times New Roman" w:hAnsi="Times New Roman"/>
          <w:b w:val="0"/>
          <w:i w:val="0"/>
          <w:color w:val="000000"/>
          <w:sz w:val="20"/>
        </w:rPr>
        <w:t xml:space="preserve">Hasil eksperimen memperlihatkan hubungan antara tujuan keputusan dan model selection. XGBoost unggul pada accuracy dan ROC-AUC, sementara Random Forest memperoleh recall </w:t>
      </w:r>
      <w:r>
        <w:rPr>
          <w:rFonts w:ascii="Times New Roman" w:hAnsi="Times New Roman"/>
          <w:b w:val="0"/>
          <w:i/>
          <w:color w:val="000000"/>
          <w:sz w:val="20"/>
        </w:rPr>
        <w:t>AtRisk</w:t>
      </w:r>
      <w:r>
        <w:rPr>
          <w:rFonts w:ascii="Times New Roman" w:hAnsi="Times New Roman"/>
          <w:b w:val="0"/>
          <w:i w:val="0"/>
          <w:color w:val="000000"/>
          <w:sz w:val="20"/>
        </w:rPr>
        <w:t xml:space="preserve"> tertinggi pada cross-validation dan hold-out test. Performa sekitar 0,76 merepresentasikan skenario awal yang hanya menggunakan informasi sampai hari ke-28. Horizon ini menyediakan waktu intervensi lebih panjang sekaligus membatasi jumlah bukti perilaku yang tersedia bagi model.</w:t>
      </w:r>
    </w:p>
    <w:p>
      <w:pPr>
        <w:spacing w:before="0" w:after="20" w:line="240" w:lineRule="auto"/>
        <w:ind w:firstLine="259"/>
        <w:jc w:val="both"/>
      </w:pPr>
      <w:r>
        <w:rPr>
          <w:rFonts w:ascii="Times New Roman" w:hAnsi="Times New Roman"/>
          <w:b w:val="0"/>
          <w:i w:val="0"/>
          <w:color w:val="000000"/>
          <w:sz w:val="20"/>
        </w:rPr>
        <w:t>Threshold assessment sebesar nol menunjukkan bahwa sebagian module-presentation belum memiliki submission sampai minggu keempat. Pengembangan berikutnya dapat menggunakan threshold per module-presentation atau menyesuaikan cut-off dengan jadwal assessment. Knowledge layer memperluas recall sebesar 0,0653 poin dan menghasilkan alasan operasional seperti aktivitas VLE rendah atau assessment yang belum dikerjakan. Alasan tersebut menjadi bahan verifikasi bersama informasi kontekstual dari dosen dan tutor.</w:t>
      </w:r>
    </w:p>
    <w:p>
      <w:pPr>
        <w:spacing w:before="0" w:after="20" w:line="240" w:lineRule="auto"/>
        <w:ind w:firstLine="259"/>
        <w:jc w:val="both"/>
      </w:pPr>
      <w:r>
        <w:rPr>
          <w:rFonts w:ascii="Times New Roman" w:hAnsi="Times New Roman"/>
          <w:b w:val="0"/>
          <w:i w:val="0"/>
          <w:color w:val="000000"/>
          <w:sz w:val="20"/>
        </w:rPr>
        <w:t>Dashboard memperluas fungsi model menjadi Business Intelligence melalui agregasi risiko, perbandingan module-presentation, dan antrean mahasiswa. Temuan 100% prioritas pada GGG 2014J menjadi sinyal untuk meninjau ukuran kelompok, jadwal assessment, serta karakteristik modul sebelum menentukan tindakan.</w:t>
      </w:r>
    </w:p>
    <w:p>
      <w:pPr>
        <w:spacing w:before="0" w:after="20" w:line="240" w:lineRule="auto"/>
        <w:ind w:firstLine="259"/>
        <w:jc w:val="both"/>
      </w:pPr>
      <w:r>
        <w:rPr>
          <w:rFonts w:ascii="Times New Roman" w:hAnsi="Times New Roman"/>
          <w:b w:val="0"/>
          <w:i w:val="0"/>
          <w:color w:val="000000"/>
          <w:sz w:val="20"/>
        </w:rPr>
        <w:t>Keterbatasan penelitian mencakup konteks OULAD di Open University Inggris, fitur perilaku yang masih berupa agregat, konfigurasi model baseline, dan threshold kuartil yang memerlukan validasi pakar. Evaluasi mengukur performa deteksi, sedangkan dampak intervensi terhadap keberhasilan mata kuliah memerlukan penelitian lanjutan dengan data institusi dan desain evaluasi intervensi.</w:t>
      </w:r>
    </w:p>
    <w:p>
      <w:pPr>
        <w:pStyle w:val="Heading1"/>
        <w:keepNext/>
        <w:spacing w:before="120" w:after="60"/>
        <w:jc w:val="center"/>
      </w:pPr>
      <w:r>
        <w:rPr>
          <w:rFonts w:ascii="Times New Roman" w:hAnsi="Times New Roman"/>
          <w:b w:val="0"/>
          <w:color w:val="000000"/>
          <w:sz w:val="20"/>
        </w:rPr>
        <w:t>V. CONCLUSION</w:t>
      </w:r>
    </w:p>
    <w:p>
      <w:pPr>
        <w:spacing w:before="0" w:after="20" w:line="240" w:lineRule="auto"/>
        <w:ind w:firstLine="259"/>
        <w:jc w:val="both"/>
      </w:pPr>
      <w:r>
        <w:rPr>
          <w:rFonts w:ascii="Times New Roman" w:hAnsi="Times New Roman"/>
          <w:b w:val="0"/>
          <w:i w:val="0"/>
          <w:color w:val="000000"/>
          <w:sz w:val="20"/>
        </w:rPr>
        <w:t xml:space="preserve">Penelitian ini mengembangkan early warning risiko ketidakberhasilan mahasiswa dalam mata kuliah pada akhir minggu keempat menggunakan OULAD. Dataset dibentuk pada unit student-module-presentation dengan fitur demografis, registrasi awal, assessment, dan aktivitas VLE sampai hari ke-28. Pemisahan berbasis </w:t>
      </w:r>
      <w:r>
        <w:rPr>
          <w:rFonts w:ascii="Times New Roman" w:hAnsi="Times New Roman"/>
          <w:b w:val="0"/>
          <w:i/>
          <w:color w:val="000000"/>
          <w:sz w:val="20"/>
        </w:rPr>
        <w:t>id_student</w:t>
      </w:r>
      <w:r>
        <w:rPr>
          <w:rFonts w:ascii="Times New Roman" w:hAnsi="Times New Roman"/>
          <w:b w:val="0"/>
          <w:i w:val="0"/>
          <w:color w:val="000000"/>
          <w:sz w:val="20"/>
        </w:rPr>
        <w:t xml:space="preserve"> menjaga independensi mahasiswa antara train-validation dan hold-out test.</w:t>
      </w:r>
    </w:p>
    <w:p>
      <w:pPr>
        <w:spacing w:before="0" w:after="20" w:line="240" w:lineRule="auto"/>
        <w:ind w:firstLine="259"/>
        <w:jc w:val="both"/>
      </w:pPr>
      <w:r>
        <w:rPr>
          <w:rFonts w:ascii="Times New Roman" w:hAnsi="Times New Roman"/>
          <w:b w:val="0"/>
          <w:i w:val="0"/>
          <w:color w:val="000000"/>
          <w:sz w:val="20"/>
        </w:rPr>
        <w:t xml:space="preserve">Random Forest dipilih berdasarkan recall </w:t>
      </w:r>
      <w:r>
        <w:rPr>
          <w:rFonts w:ascii="Times New Roman" w:hAnsi="Times New Roman"/>
          <w:b w:val="0"/>
          <w:i/>
          <w:color w:val="000000"/>
          <w:sz w:val="20"/>
        </w:rPr>
        <w:t>AtRisk</w:t>
      </w:r>
      <w:r>
        <w:rPr>
          <w:rFonts w:ascii="Times New Roman" w:hAnsi="Times New Roman"/>
          <w:b w:val="0"/>
          <w:i w:val="0"/>
          <w:color w:val="000000"/>
          <w:sz w:val="20"/>
        </w:rPr>
        <w:t xml:space="preserve"> cross-validation tertinggi sebesar 0,7107. Pada hold-out test, model menghasilkan accuracy 0,7594, precision 0,8007, recall 0,7213, F1-score 0,7589, dan ROC-AUC 0,8396. Knowledge-based risk layer meningkatkan recall menjadi 0,7866 dengan menggabungkan prediksi model dan empat sinyal perilaku awal. Sistem menghasilkan level risiko, alasan, dan rekomendasi yang dapat diterjemahkan menjadi antrean intervensi.</w:t>
      </w:r>
    </w:p>
    <w:p>
      <w:pPr>
        <w:spacing w:before="0" w:after="20" w:line="240" w:lineRule="auto"/>
        <w:ind w:firstLine="259"/>
        <w:jc w:val="both"/>
      </w:pPr>
      <w:r>
        <w:rPr>
          <w:rFonts w:ascii="Times New Roman" w:hAnsi="Times New Roman"/>
          <w:b w:val="0"/>
          <w:i w:val="0"/>
          <w:color w:val="000000"/>
          <w:sz w:val="20"/>
        </w:rPr>
        <w:t>Dashboard Business Intelligence menyajikan distribusi risiko, prioritas module-presentation, sinyal dominan, performa model, dan daftar mahasiswa anonim untuk monitoring. Integrasi supervised learning, knowledge-based risk layer, dan visual analytics menghasilkan decision support yang menghubungkan prediksi dengan proses tindak lanjut akademik.</w:t>
      </w:r>
    </w:p>
    <w:p>
      <w:pPr>
        <w:spacing w:before="0" w:after="20" w:line="240" w:lineRule="auto"/>
        <w:ind w:firstLine="259"/>
        <w:jc w:val="both"/>
      </w:pPr>
      <w:r>
        <w:rPr>
          <w:rFonts w:ascii="Times New Roman" w:hAnsi="Times New Roman"/>
          <w:b w:val="0"/>
          <w:i w:val="0"/>
          <w:color w:val="000000"/>
          <w:sz w:val="20"/>
        </w:rPr>
        <w:t>Pengembangan berikutnya dapat membandingkan horizon minggu keempat, kedelapan, dan kedua belas; menggunakan threshold per module-presentation; melakukan tuning hyperparameter; serta menguji validitas eksternal pada data institusi lain. Evaluasi dampak intervensi juga diperlukan untuk mengukur kontribusi sistem terhadap keberhasilan mahasiswa menyelesaikan mata kuliah.</w:t>
      </w:r>
    </w:p>
    <w:p>
      <w:pPr>
        <w:pStyle w:val="Heading1"/>
        <w:keepNext/>
        <w:spacing w:before="120" w:after="60"/>
        <w:jc w:val="center"/>
      </w:pPr>
      <w:r>
        <w:rPr>
          <w:rFonts w:ascii="Times New Roman" w:hAnsi="Times New Roman"/>
          <w:b w:val="0"/>
          <w:color w:val="000000"/>
          <w:sz w:val="20"/>
        </w:rPr>
        <w:t>REFERENCES</w:t>
      </w:r>
    </w:p>
    <w:p>
      <w:pPr>
        <w:spacing w:after="40"/>
        <w:ind w:left="259" w:hanging="259"/>
        <w:jc w:val="both"/>
      </w:pPr>
      <w:r>
        <w:rPr>
          <w:rFonts w:ascii="Times New Roman" w:hAnsi="Times New Roman"/>
          <w:b w:val="0"/>
          <w:i w:val="0"/>
          <w:color w:val="000000"/>
          <w:sz w:val="16"/>
        </w:rPr>
        <w:t xml:space="preserve">[1] S. Matz et al., "Using machine learning to predict student retention from socio-demographic characteristics and app-based engagement metrics," </w:t>
      </w:r>
      <w:r>
        <w:rPr>
          <w:rFonts w:ascii="Times New Roman" w:hAnsi="Times New Roman"/>
          <w:b w:val="0"/>
          <w:i/>
          <w:color w:val="000000"/>
          <w:sz w:val="16"/>
        </w:rPr>
        <w:t>Scientific Reports</w:t>
      </w:r>
      <w:r>
        <w:rPr>
          <w:rFonts w:ascii="Times New Roman" w:hAnsi="Times New Roman"/>
          <w:b w:val="0"/>
          <w:i w:val="0"/>
          <w:color w:val="000000"/>
          <w:sz w:val="16"/>
        </w:rPr>
        <w:t>, 2023, doi: 10.1038/s41598-023-32484-w.</w:t>
      </w:r>
    </w:p>
    <w:p>
      <w:pPr>
        <w:spacing w:after="40"/>
        <w:ind w:left="259" w:hanging="259"/>
        <w:jc w:val="both"/>
      </w:pPr>
      <w:r>
        <w:rPr>
          <w:rFonts w:ascii="Times New Roman" w:hAnsi="Times New Roman"/>
          <w:b w:val="0"/>
          <w:i w:val="0"/>
          <w:color w:val="000000"/>
          <w:sz w:val="16"/>
        </w:rPr>
        <w:t xml:space="preserve">[2] S. Plak et al., "Early warning systems for more effective student counselling in higher education: Evidence from a Dutch field experiment," </w:t>
      </w:r>
      <w:r>
        <w:rPr>
          <w:rFonts w:ascii="Times New Roman" w:hAnsi="Times New Roman"/>
          <w:b w:val="0"/>
          <w:i/>
          <w:color w:val="000000"/>
          <w:sz w:val="16"/>
        </w:rPr>
        <w:t>Higher Education Quarterly</w:t>
      </w:r>
      <w:r>
        <w:rPr>
          <w:rFonts w:ascii="Times New Roman" w:hAnsi="Times New Roman"/>
          <w:b w:val="0"/>
          <w:i w:val="0"/>
          <w:color w:val="000000"/>
          <w:sz w:val="16"/>
        </w:rPr>
        <w:t>, 2022, doi: 10.1111/hequ.12298.</w:t>
      </w:r>
    </w:p>
    <w:p>
      <w:pPr>
        <w:spacing w:after="40"/>
        <w:ind w:left="259" w:hanging="259"/>
        <w:jc w:val="both"/>
      </w:pPr>
      <w:r>
        <w:rPr>
          <w:rFonts w:ascii="Times New Roman" w:hAnsi="Times New Roman"/>
          <w:b w:val="0"/>
          <w:i w:val="0"/>
          <w:color w:val="000000"/>
          <w:sz w:val="16"/>
        </w:rPr>
        <w:t xml:space="preserve">[3] J. Pecuchova and M. Drlik, "Enhancing the Early Student Dropout Prediction Model Through Clustering Analysis of Students' Digital Traces," </w:t>
      </w:r>
      <w:r>
        <w:rPr>
          <w:rFonts w:ascii="Times New Roman" w:hAnsi="Times New Roman"/>
          <w:b w:val="0"/>
          <w:i/>
          <w:color w:val="000000"/>
          <w:sz w:val="16"/>
        </w:rPr>
        <w:t>IEEE Access</w:t>
      </w:r>
      <w:r>
        <w:rPr>
          <w:rFonts w:ascii="Times New Roman" w:hAnsi="Times New Roman"/>
          <w:b w:val="0"/>
          <w:i w:val="0"/>
          <w:color w:val="000000"/>
          <w:sz w:val="16"/>
        </w:rPr>
        <w:t>, 2024, doi: 10.1109/ACCESS.2024.3486762.</w:t>
      </w:r>
    </w:p>
    <w:p>
      <w:pPr>
        <w:spacing w:after="40"/>
        <w:ind w:left="259" w:hanging="259"/>
        <w:jc w:val="both"/>
      </w:pPr>
      <w:r>
        <w:rPr>
          <w:rFonts w:ascii="Times New Roman" w:hAnsi="Times New Roman"/>
          <w:b w:val="0"/>
          <w:i w:val="0"/>
          <w:color w:val="000000"/>
          <w:sz w:val="16"/>
        </w:rPr>
        <w:t xml:space="preserve">[4] J. Kuzilek, M. Hlosta, and Z. Zdrahal, "Open University Learning Analytics dataset," </w:t>
      </w:r>
      <w:r>
        <w:rPr>
          <w:rFonts w:ascii="Times New Roman" w:hAnsi="Times New Roman"/>
          <w:b w:val="0"/>
          <w:i/>
          <w:color w:val="000000"/>
          <w:sz w:val="16"/>
        </w:rPr>
        <w:t>Scientific Data</w:t>
      </w:r>
      <w:r>
        <w:rPr>
          <w:rFonts w:ascii="Times New Roman" w:hAnsi="Times New Roman"/>
          <w:b w:val="0"/>
          <w:i w:val="0"/>
          <w:color w:val="000000"/>
          <w:sz w:val="16"/>
        </w:rPr>
        <w:t>, vol. 4, article no. 170171, 2017, doi: 10.1038/sdata.2017.171.</w:t>
      </w:r>
    </w:p>
    <w:p>
      <w:pPr>
        <w:spacing w:after="40"/>
        <w:ind w:left="259" w:hanging="259"/>
        <w:jc w:val="both"/>
      </w:pPr>
      <w:r>
        <w:rPr>
          <w:rFonts w:ascii="Times New Roman" w:hAnsi="Times New Roman"/>
          <w:b w:val="0"/>
          <w:i w:val="0"/>
          <w:color w:val="000000"/>
          <w:sz w:val="16"/>
        </w:rPr>
        <w:t xml:space="preserve">[5] Z. Shou, M. Xie, J. Mo, and H. Zhang, "Predicting Student Performance in Online Learning: A Multidimensional Time-Series Data Analysis Approach," </w:t>
      </w:r>
      <w:r>
        <w:rPr>
          <w:rFonts w:ascii="Times New Roman" w:hAnsi="Times New Roman"/>
          <w:b w:val="0"/>
          <w:i/>
          <w:color w:val="000000"/>
          <w:sz w:val="16"/>
        </w:rPr>
        <w:t>Applied Sciences</w:t>
      </w:r>
      <w:r>
        <w:rPr>
          <w:rFonts w:ascii="Times New Roman" w:hAnsi="Times New Roman"/>
          <w:b w:val="0"/>
          <w:i w:val="0"/>
          <w:color w:val="000000"/>
          <w:sz w:val="16"/>
        </w:rPr>
        <w:t>, vol. 14, no. 6, article no. 2522, 2024, doi: 10.3390/app14062522.</w:t>
      </w:r>
    </w:p>
    <w:p>
      <w:pPr>
        <w:spacing w:after="40"/>
        <w:ind w:left="259" w:hanging="259"/>
        <w:jc w:val="both"/>
      </w:pPr>
      <w:r>
        <w:rPr>
          <w:rFonts w:ascii="Times New Roman" w:hAnsi="Times New Roman"/>
          <w:b w:val="0"/>
          <w:i w:val="0"/>
          <w:color w:val="000000"/>
          <w:sz w:val="16"/>
        </w:rPr>
        <w:t xml:space="preserve">[6] K. Jawad, M. A. Shah, and M. Tahir, "Students' Academic Performance and Engagement Prediction in a Virtual Learning Environment Using Random Forest with Data Balancing," </w:t>
      </w:r>
      <w:r>
        <w:rPr>
          <w:rFonts w:ascii="Times New Roman" w:hAnsi="Times New Roman"/>
          <w:b w:val="0"/>
          <w:i/>
          <w:color w:val="000000"/>
          <w:sz w:val="16"/>
        </w:rPr>
        <w:t>Sustainability</w:t>
      </w:r>
      <w:r>
        <w:rPr>
          <w:rFonts w:ascii="Times New Roman" w:hAnsi="Times New Roman"/>
          <w:b w:val="0"/>
          <w:i w:val="0"/>
          <w:color w:val="000000"/>
          <w:sz w:val="16"/>
        </w:rPr>
        <w:t>, vol. 14, no. 22, article no. 14795, 2022, doi: 10.3390/su142214795.</w:t>
      </w:r>
    </w:p>
    <w:p>
      <w:pPr>
        <w:spacing w:after="40"/>
        <w:ind w:left="259" w:hanging="259"/>
        <w:jc w:val="both"/>
      </w:pPr>
      <w:r>
        <w:rPr>
          <w:rFonts w:ascii="Times New Roman" w:hAnsi="Times New Roman"/>
          <w:b w:val="0"/>
          <w:i w:val="0"/>
          <w:color w:val="000000"/>
          <w:sz w:val="16"/>
        </w:rPr>
        <w:t xml:space="preserve">[7] S. A. A. Balabied and H. F. Eid, "Utilizing Random Forest Algorithm for Early Detection of Academic Underperformance in Open Learning Environments," </w:t>
      </w:r>
      <w:r>
        <w:rPr>
          <w:rFonts w:ascii="Times New Roman" w:hAnsi="Times New Roman"/>
          <w:b w:val="0"/>
          <w:i/>
          <w:color w:val="000000"/>
          <w:sz w:val="16"/>
        </w:rPr>
        <w:t>PeerJ Computer Science</w:t>
      </w:r>
      <w:r>
        <w:rPr>
          <w:rFonts w:ascii="Times New Roman" w:hAnsi="Times New Roman"/>
          <w:b w:val="0"/>
          <w:i w:val="0"/>
          <w:color w:val="000000"/>
          <w:sz w:val="16"/>
        </w:rPr>
        <w:t>, vol. 9, article no. e1708, 2023, doi: 10.7717/peerj-cs.1708.</w:t>
      </w:r>
    </w:p>
    <w:p>
      <w:pPr>
        <w:spacing w:after="40"/>
        <w:ind w:left="259" w:hanging="259"/>
        <w:jc w:val="both"/>
      </w:pPr>
      <w:r>
        <w:rPr>
          <w:rFonts w:ascii="Times New Roman" w:hAnsi="Times New Roman"/>
          <w:b w:val="0"/>
          <w:i w:val="0"/>
          <w:color w:val="000000"/>
          <w:sz w:val="16"/>
        </w:rPr>
        <w:t xml:space="preserve">[8] B. Ujkani, D. Minkovska, and N. Hinov, "Course Success Prediction and Early Identification of At-Risk Students Using Explainable Artificial Intelligence," </w:t>
      </w:r>
      <w:r>
        <w:rPr>
          <w:rFonts w:ascii="Times New Roman" w:hAnsi="Times New Roman"/>
          <w:b w:val="0"/>
          <w:i/>
          <w:color w:val="000000"/>
          <w:sz w:val="16"/>
        </w:rPr>
        <w:t>Electronics</w:t>
      </w:r>
      <w:r>
        <w:rPr>
          <w:rFonts w:ascii="Times New Roman" w:hAnsi="Times New Roman"/>
          <w:b w:val="0"/>
          <w:i w:val="0"/>
          <w:color w:val="000000"/>
          <w:sz w:val="16"/>
        </w:rPr>
        <w:t>, vol. 13, no. 21, article no. 4157, 2024, doi: 10.3390/electronics13214157.</w:t>
      </w:r>
    </w:p>
    <w:p>
      <w:pPr>
        <w:spacing w:after="40"/>
        <w:ind w:left="259" w:hanging="259"/>
        <w:jc w:val="both"/>
      </w:pPr>
      <w:r>
        <w:rPr>
          <w:rFonts w:ascii="Times New Roman" w:hAnsi="Times New Roman"/>
          <w:b w:val="0"/>
          <w:i w:val="0"/>
          <w:color w:val="000000"/>
          <w:sz w:val="16"/>
        </w:rPr>
        <w:t xml:space="preserve">[9] B. Alnasyan, M. Basheri, M. Alassafi, and K. Alnasyan, "Kanformer: An Attention-Enhanced Deep Learning Model for Predicting Student Performance in Virtual Learning Environments," </w:t>
      </w:r>
      <w:r>
        <w:rPr>
          <w:rFonts w:ascii="Times New Roman" w:hAnsi="Times New Roman"/>
          <w:b w:val="0"/>
          <w:i/>
          <w:color w:val="000000"/>
          <w:sz w:val="16"/>
        </w:rPr>
        <w:t>Social Network Analysis and Mining</w:t>
      </w:r>
      <w:r>
        <w:rPr>
          <w:rFonts w:ascii="Times New Roman" w:hAnsi="Times New Roman"/>
          <w:b w:val="0"/>
          <w:i w:val="0"/>
          <w:color w:val="000000"/>
          <w:sz w:val="16"/>
        </w:rPr>
        <w:t>, vol. 15, article no. 25, 2025, doi: 10.1007/s13278-025-01446-7.</w:t>
      </w:r>
    </w:p>
    <w:p>
      <w:pPr>
        <w:spacing w:after="40"/>
        <w:ind w:left="259" w:hanging="259"/>
        <w:jc w:val="both"/>
      </w:pPr>
      <w:r>
        <w:rPr>
          <w:rFonts w:ascii="Times New Roman" w:hAnsi="Times New Roman"/>
          <w:b w:val="0"/>
          <w:i w:val="0"/>
          <w:color w:val="000000"/>
          <w:sz w:val="16"/>
        </w:rPr>
        <w:t xml:space="preserve">[10] T. Kustitskaya et al., "Hybrid Approach to Predicting Learning Success Based on Digital Educational History for Timely Identification of At-Risk Students," </w:t>
      </w:r>
      <w:r>
        <w:rPr>
          <w:rFonts w:ascii="Times New Roman" w:hAnsi="Times New Roman"/>
          <w:b w:val="0"/>
          <w:i/>
          <w:color w:val="000000"/>
          <w:sz w:val="16"/>
        </w:rPr>
        <w:t>Education Sciences</w:t>
      </w:r>
      <w:r>
        <w:rPr>
          <w:rFonts w:ascii="Times New Roman" w:hAnsi="Times New Roman"/>
          <w:b w:val="0"/>
          <w:i w:val="0"/>
          <w:color w:val="000000"/>
          <w:sz w:val="16"/>
        </w:rPr>
        <w:t>, 2024, doi: 10.3390/educsci14060657.</w:t>
      </w:r>
    </w:p>
    <w:p>
      <w:pPr>
        <w:spacing w:after="40"/>
        <w:ind w:left="259" w:hanging="259"/>
        <w:jc w:val="both"/>
      </w:pPr>
      <w:r>
        <w:rPr>
          <w:rFonts w:ascii="Times New Roman" w:hAnsi="Times New Roman"/>
          <w:b w:val="0"/>
          <w:i w:val="0"/>
          <w:color w:val="000000"/>
          <w:sz w:val="16"/>
        </w:rPr>
        <w:t xml:space="preserve">[11] M. Carballo-Mendivil et al., "Predicting Student Dropout from Day One: XGBoost-Based Early Warning System Using Pre-Enrollment Data," </w:t>
      </w:r>
      <w:r>
        <w:rPr>
          <w:rFonts w:ascii="Times New Roman" w:hAnsi="Times New Roman"/>
          <w:b w:val="0"/>
          <w:i/>
          <w:color w:val="000000"/>
          <w:sz w:val="16"/>
        </w:rPr>
        <w:t>Applied Sciences</w:t>
      </w:r>
      <w:r>
        <w:rPr>
          <w:rFonts w:ascii="Times New Roman" w:hAnsi="Times New Roman"/>
          <w:b w:val="0"/>
          <w:i w:val="0"/>
          <w:color w:val="000000"/>
          <w:sz w:val="16"/>
        </w:rPr>
        <w:t>, 2025, doi: 10.3390/app15169202.</w:t>
      </w:r>
    </w:p>
    <w:p>
      <w:pPr>
        <w:spacing w:after="40"/>
        <w:ind w:left="259" w:hanging="259"/>
        <w:jc w:val="both"/>
      </w:pPr>
      <w:r>
        <w:rPr>
          <w:rFonts w:ascii="Times New Roman" w:hAnsi="Times New Roman"/>
          <w:b w:val="0"/>
          <w:i w:val="0"/>
          <w:color w:val="000000"/>
          <w:sz w:val="16"/>
        </w:rPr>
        <w:t xml:space="preserve">[12] A. Garmpis et al., "Assisting Educational Analytics with AutoML Functionalities," </w:t>
      </w:r>
      <w:r>
        <w:rPr>
          <w:rFonts w:ascii="Times New Roman" w:hAnsi="Times New Roman"/>
          <w:b w:val="0"/>
          <w:i/>
          <w:color w:val="000000"/>
          <w:sz w:val="16"/>
        </w:rPr>
        <w:t>Computers</w:t>
      </w:r>
      <w:r>
        <w:rPr>
          <w:rFonts w:ascii="Times New Roman" w:hAnsi="Times New Roman"/>
          <w:b w:val="0"/>
          <w:i w:val="0"/>
          <w:color w:val="000000"/>
          <w:sz w:val="16"/>
        </w:rPr>
        <w:t>, 2022, doi: 10.3390/computers11060097.</w:t>
      </w:r>
    </w:p>
    <w:p>
      <w:pPr>
        <w:spacing w:after="40"/>
        <w:ind w:left="259" w:hanging="259"/>
        <w:jc w:val="both"/>
      </w:pPr>
      <w:r>
        <w:rPr>
          <w:rFonts w:ascii="Times New Roman" w:hAnsi="Times New Roman"/>
          <w:b w:val="0"/>
          <w:i w:val="0"/>
          <w:color w:val="000000"/>
          <w:sz w:val="16"/>
        </w:rPr>
        <w:t xml:space="preserve">[13] C. Y. Tsai et al., "Precision education with statistical learning and deep learning: a case study in Taiwan," </w:t>
      </w:r>
      <w:r>
        <w:rPr>
          <w:rFonts w:ascii="Times New Roman" w:hAnsi="Times New Roman"/>
          <w:b w:val="0"/>
          <w:i/>
          <w:color w:val="000000"/>
          <w:sz w:val="16"/>
        </w:rPr>
        <w:t>International Journal of Educational Technology in Higher Education</w:t>
      </w:r>
      <w:r>
        <w:rPr>
          <w:rFonts w:ascii="Times New Roman" w:hAnsi="Times New Roman"/>
          <w:b w:val="0"/>
          <w:i w:val="0"/>
          <w:color w:val="000000"/>
          <w:sz w:val="16"/>
        </w:rPr>
        <w:t>, 2020, doi: 10.1186/s41239-020-00186-2.</w:t>
      </w:r>
    </w:p>
    <w:p>
      <w:pPr>
        <w:spacing w:after="40"/>
        <w:ind w:left="259" w:hanging="259"/>
        <w:jc w:val="both"/>
      </w:pPr>
      <w:r>
        <w:rPr>
          <w:rFonts w:ascii="Times New Roman" w:hAnsi="Times New Roman"/>
          <w:b w:val="0"/>
          <w:i w:val="0"/>
          <w:color w:val="000000"/>
          <w:sz w:val="16"/>
        </w:rPr>
        <w:t xml:space="preserve">[14] M. V. Martins et al., "Multi-Class Phased Prediction of Academic Performance and Dropout in Higher Education," </w:t>
      </w:r>
      <w:r>
        <w:rPr>
          <w:rFonts w:ascii="Times New Roman" w:hAnsi="Times New Roman"/>
          <w:b w:val="0"/>
          <w:i/>
          <w:color w:val="000000"/>
          <w:sz w:val="16"/>
        </w:rPr>
        <w:t>Applied Sciences</w:t>
      </w:r>
      <w:r>
        <w:rPr>
          <w:rFonts w:ascii="Times New Roman" w:hAnsi="Times New Roman"/>
          <w:b w:val="0"/>
          <w:i w:val="0"/>
          <w:color w:val="000000"/>
          <w:sz w:val="16"/>
        </w:rPr>
        <w:t>, 2023, doi: 10.3390/app13084702.</w:t>
      </w:r>
    </w:p>
    <w:p>
      <w:pPr>
        <w:spacing w:after="40"/>
        <w:ind w:left="259" w:hanging="259"/>
        <w:jc w:val="both"/>
      </w:pPr>
      <w:r>
        <w:rPr>
          <w:rFonts w:ascii="Times New Roman" w:hAnsi="Times New Roman"/>
          <w:b w:val="0"/>
          <w:i w:val="0"/>
          <w:color w:val="000000"/>
          <w:sz w:val="16"/>
        </w:rPr>
        <w:t xml:space="preserve">[15] J. R. Rico-Juan et al., "Study regarding the influence of a student's personality and an LMS usage profile on learning performance using machine learning techniques," </w:t>
      </w:r>
      <w:r>
        <w:rPr>
          <w:rFonts w:ascii="Times New Roman" w:hAnsi="Times New Roman"/>
          <w:b w:val="0"/>
          <w:i/>
          <w:color w:val="000000"/>
          <w:sz w:val="16"/>
        </w:rPr>
        <w:t>Applied Intelligence</w:t>
      </w:r>
      <w:r>
        <w:rPr>
          <w:rFonts w:ascii="Times New Roman" w:hAnsi="Times New Roman"/>
          <w:b w:val="0"/>
          <w:i w:val="0"/>
          <w:color w:val="000000"/>
          <w:sz w:val="16"/>
        </w:rPr>
        <w:t>, 2024, doi: 10.1007/s10489-024-05483-1.</w:t>
      </w:r>
    </w:p>
    <w:p>
      <w:pPr>
        <w:spacing w:after="40"/>
        <w:ind w:left="259" w:hanging="259"/>
        <w:jc w:val="both"/>
      </w:pPr>
      <w:r>
        <w:rPr>
          <w:rFonts w:ascii="Times New Roman" w:hAnsi="Times New Roman"/>
          <w:b w:val="0"/>
          <w:i w:val="0"/>
          <w:color w:val="000000"/>
          <w:sz w:val="16"/>
        </w:rPr>
        <w:t xml:space="preserve">[16] J. Berens et al., "Crossing individual university boundaries: a comprehensive approach to predicting dropouts in the higher education system," </w:t>
      </w:r>
      <w:r>
        <w:rPr>
          <w:rFonts w:ascii="Times New Roman" w:hAnsi="Times New Roman"/>
          <w:b w:val="0"/>
          <w:i/>
          <w:color w:val="000000"/>
          <w:sz w:val="16"/>
        </w:rPr>
        <w:t>Higher Education</w:t>
      </w:r>
      <w:r>
        <w:rPr>
          <w:rFonts w:ascii="Times New Roman" w:hAnsi="Times New Roman"/>
          <w:b w:val="0"/>
          <w:i w:val="0"/>
          <w:color w:val="000000"/>
          <w:sz w:val="16"/>
        </w:rPr>
        <w:t>, 2025, doi: 10.1007/s10734-025-01509-w.</w:t>
      </w:r>
    </w:p>
    <w:sectPr w:rsidR="00FC693F" w:rsidRPr="0006063C" w:rsidSect="00034616">
      <w:type w:val="continuous"/>
      <w:pgSz w:w="12240" w:h="15840"/>
      <w:pgMar w:top="1080" w:right="900" w:bottom="1440" w:left="900" w:header="432" w:footer="432" w:gutter="0"/>
      <w:cols w:space="36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Warning Risiko Ketidakberhasilan Mahasiswa dalam Mata Kuliah pada Minggu Keempat Menggunakan Supervised Learning dan Knowledge-Based Risk Layer pada Open University Learning Analytics Dataset</dc:title>
  <dc:subject>Early warning of unsuccessful course outcomes using OULAD</dc:subject>
  <dc:creator>Muhammad Rizky Hajar, Heri Santosa, Alwie Muflich, Andi Sunyoto, Robert Marco</dc:creator>
  <cp:keywords>academic risk prediction, course withdrawal, course failure, OULAD, early warning</cp:keywords>
  <dc:description>generated by python-docx</dc:description>
  <cp:lastModifiedBy/>
  <cp:revision>1</cp:revision>
  <dcterms:created xsi:type="dcterms:W3CDTF">2013-12-23T23:15:00Z</dcterms:created>
  <dcterms:modified xsi:type="dcterms:W3CDTF">2013-12-23T23:15:00Z</dcterms:modified>
  <cp:category/>
  <dc:language>id-ID</dc:language>
</cp:coreProperties>
</file>