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olor w:val="000000"/>
          <w:sz w:val="48"/>
        </w:rPr>
        <w:t>Early Warning of Students at Risk of Unsuccessful Course Outcomes in Week Four Using Supervised Learning and a Knowledge-Based Risk Layer on the Open University Learning Analytics Dataset</w:t>
      </w:r>
    </w:p>
    <w:tbl>
      <w:tblPr>
        <w:tblW w:type="dxa" w:w="10260"/>
        <w:jc w:val="center"/>
        <w:tblLayout w:type="fixed"/>
        <w:tblLook w:firstColumn="1" w:firstRow="1" w:lastColumn="0" w:lastRow="0" w:noHBand="0" w:noVBand="1" w:val="04A0"/>
      </w:tblPr>
      <w:tblGrid>
        <w:gridCol w:w="3420"/>
        <w:gridCol w:w="3420"/>
        <w:gridCol w:w="3420"/>
      </w:tblGrid>
      <w:tr>
        <w:trPr>
          <w:tblHeader/>
        </w:trPr>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Muhammad Rizky Hajar</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riskihajar@students.amikom.ac.id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Heri Santosa</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heri.sant@students.amikom.ac.id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Alwie Muflich</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alwiemuflich@students.amikom.ac.id</w:t>
            </w:r>
          </w:p>
        </w:tc>
      </w:tr>
      <w:tr>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Andi Sunyoto</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andi@amikom.ac.id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Robert Marco</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robert.marco@amikom.ac.id</w:t>
            </w:r>
          </w:p>
        </w:tc>
        <w:tc>
          <w:tcPr>
            <w:tcW w:type="dxa" w:w="3420"/>
            <w:tcMar>
              <w:top w:w="60" w:type="dxa"/>
              <w:start w:w="80" w:type="dxa"/>
              <w:bottom w:w="60" w:type="dxa"/>
              <w:end w:w="80" w:type="dxa"/>
            </w:tcMar>
            <w:tcBorders/>
          </w:tcPr>
          <w:p>
            <w:r/>
          </w:p>
        </w:tc>
      </w:tr>
    </w:tbl>
    <w:p>
      <w:pPr>
        <w:sectPr>
          <w:pgSz w:w="12240" w:h="15840"/>
          <w:pgMar w:top="1080" w:right="900" w:bottom="1440" w:left="900" w:header="432" w:footer="432" w:gutter="0"/>
          <w:cols w:space="360" w:num="1" w:equalWidth="1"/>
          <w:docGrid w:linePitch="360"/>
        </w:sectPr>
      </w:pPr>
    </w:p>
    <w:p>
      <w:pPr>
        <w:spacing w:after="80"/>
        <w:jc w:val="both"/>
      </w:pPr>
      <w:r>
        <w:rPr>
          <w:rFonts w:ascii="Times New Roman" w:hAnsi="Times New Roman"/>
          <w:b/>
          <w:i/>
          <w:color w:val="000000"/>
          <w:sz w:val="18"/>
        </w:rPr>
        <w:t xml:space="preserve">Abstract. </w:t>
      </w:r>
      <w:r>
        <w:rPr>
          <w:rFonts w:ascii="Times New Roman" w:hAnsi="Times New Roman"/>
          <w:b w:val="0"/>
          <w:i w:val="0"/>
          <w:color w:val="000000"/>
          <w:sz w:val="18"/>
        </w:rPr>
        <w:t xml:space="preserve">Final course outcomes provide important information for academic monitoring and early intervention planning. This study develops an early warning system for students at risk of unsuccessful course outcomes by the end of week four using the Open University Learning Analytics Dataset (OULAD). Each row represents one student in one module-presentation. The binary target is defined as </w:t>
      </w:r>
      <w:r>
        <w:rPr>
          <w:rFonts w:ascii="Times New Roman" w:hAnsi="Times New Roman"/>
          <w:b w:val="0"/>
          <w:i/>
          <w:color w:val="000000"/>
          <w:sz w:val="18"/>
        </w:rPr>
        <w:t>AtRisk</w:t>
      </w:r>
      <w:r>
        <w:rPr>
          <w:rFonts w:ascii="Times New Roman" w:hAnsi="Times New Roman"/>
          <w:b w:val="0"/>
          <w:i w:val="0"/>
          <w:color w:val="000000"/>
          <w:sz w:val="18"/>
        </w:rPr>
        <w:t xml:space="preserve"> for </w:t>
      </w:r>
      <w:r>
        <w:rPr>
          <w:rFonts w:ascii="Times New Roman" w:hAnsi="Times New Roman"/>
          <w:b w:val="0"/>
          <w:i/>
          <w:color w:val="000000"/>
          <w:sz w:val="18"/>
        </w:rPr>
        <w:t>Withdrawn</w:t>
      </w:r>
      <w:r>
        <w:rPr>
          <w:rFonts w:ascii="Times New Roman" w:hAnsi="Times New Roman"/>
          <w:b w:val="0"/>
          <w:i w:val="0"/>
          <w:color w:val="000000"/>
          <w:sz w:val="18"/>
        </w:rPr>
        <w:t xml:space="preserve"> and </w:t>
      </w:r>
      <w:r>
        <w:rPr>
          <w:rFonts w:ascii="Times New Roman" w:hAnsi="Times New Roman"/>
          <w:b w:val="0"/>
          <w:i/>
          <w:color w:val="000000"/>
          <w:sz w:val="18"/>
        </w:rPr>
        <w:t>Fail</w:t>
      </w:r>
      <w:r>
        <w:rPr>
          <w:rFonts w:ascii="Times New Roman" w:hAnsi="Times New Roman"/>
          <w:b w:val="0"/>
          <w:i w:val="0"/>
          <w:color w:val="000000"/>
          <w:sz w:val="18"/>
        </w:rPr>
        <w:t xml:space="preserve"> outcomes and </w:t>
      </w:r>
      <w:r>
        <w:rPr>
          <w:rFonts w:ascii="Times New Roman" w:hAnsi="Times New Roman"/>
          <w:b w:val="0"/>
          <w:i/>
          <w:color w:val="000000"/>
          <w:sz w:val="18"/>
        </w:rPr>
        <w:t>Successful</w:t>
      </w:r>
      <w:r>
        <w:rPr>
          <w:rFonts w:ascii="Times New Roman" w:hAnsi="Times New Roman"/>
          <w:b w:val="0"/>
          <w:i w:val="0"/>
          <w:color w:val="000000"/>
          <w:sz w:val="18"/>
        </w:rPr>
        <w:t xml:space="preserve"> for </w:t>
      </w:r>
      <w:r>
        <w:rPr>
          <w:rFonts w:ascii="Times New Roman" w:hAnsi="Times New Roman"/>
          <w:b w:val="0"/>
          <w:i/>
          <w:color w:val="000000"/>
          <w:sz w:val="18"/>
        </w:rPr>
        <w:t>Pass</w:t>
      </w:r>
      <w:r>
        <w:rPr>
          <w:rFonts w:ascii="Times New Roman" w:hAnsi="Times New Roman"/>
          <w:b w:val="0"/>
          <w:i w:val="0"/>
          <w:color w:val="000000"/>
          <w:sz w:val="18"/>
        </w:rPr>
        <w:t xml:space="preserve"> and </w:t>
      </w:r>
      <w:r>
        <w:rPr>
          <w:rFonts w:ascii="Times New Roman" w:hAnsi="Times New Roman"/>
          <w:b w:val="0"/>
          <w:i/>
          <w:color w:val="000000"/>
          <w:sz w:val="18"/>
        </w:rPr>
        <w:t>Distinction</w:t>
      </w:r>
      <w:r>
        <w:rPr>
          <w:rFonts w:ascii="Times New Roman" w:hAnsi="Times New Roman"/>
          <w:b w:val="0"/>
          <w:i w:val="0"/>
          <w:color w:val="000000"/>
          <w:sz w:val="18"/>
        </w:rPr>
        <w:t xml:space="preserve">. Predictors are constructed from demographic data, initial registration, assessments, and Virtual Learning Environment activity available through day 28. The evaluation compares Logistic Regression, Random Forest, and XGBoost using a student-grouped hold-out test and 5-fold GroupKFold. Random Forest is selected because it achieves the highest cross-validation recall for </w:t>
      </w:r>
      <w:r>
        <w:rPr>
          <w:rFonts w:ascii="Times New Roman" w:hAnsi="Times New Roman"/>
          <w:b w:val="0"/>
          <w:i/>
          <w:color w:val="000000"/>
          <w:sz w:val="18"/>
        </w:rPr>
        <w:t>AtRisk</w:t>
      </w:r>
      <w:r>
        <w:rPr>
          <w:rFonts w:ascii="Times New Roman" w:hAnsi="Times New Roman"/>
          <w:b w:val="0"/>
          <w:i w:val="0"/>
          <w:color w:val="000000"/>
          <w:sz w:val="18"/>
        </w:rPr>
        <w:t xml:space="preserve"> at 0.7107. On the hold-out test, the model achieves an accuracy of 0.7594, precision of 0.8007, recall of 0.7213, F1-score of 0.7589, and ROC-AUC of 0.8396. A knowledge-based risk layer combines model predictions with four early behavioral indicators to produce </w:t>
      </w:r>
      <w:r>
        <w:rPr>
          <w:rFonts w:ascii="Times New Roman" w:hAnsi="Times New Roman"/>
          <w:b w:val="0"/>
          <w:i/>
          <w:color w:val="000000"/>
          <w:sz w:val="18"/>
        </w:rPr>
        <w:t>High Risk</w:t>
      </w:r>
      <w:r>
        <w:rPr>
          <w:rFonts w:ascii="Times New Roman" w:hAnsi="Times New Roman"/>
          <w:b w:val="0"/>
          <w:i w:val="0"/>
          <w:color w:val="000000"/>
          <w:sz w:val="18"/>
        </w:rPr>
        <w:t xml:space="preserve">, </w:t>
      </w:r>
      <w:r>
        <w:rPr>
          <w:rFonts w:ascii="Times New Roman" w:hAnsi="Times New Roman"/>
          <w:b w:val="0"/>
          <w:i/>
          <w:color w:val="000000"/>
          <w:sz w:val="18"/>
        </w:rPr>
        <w:t>Medium Risk</w:t>
      </w:r>
      <w:r>
        <w:rPr>
          <w:rFonts w:ascii="Times New Roman" w:hAnsi="Times New Roman"/>
          <w:b w:val="0"/>
          <w:i w:val="0"/>
          <w:color w:val="000000"/>
          <w:sz w:val="18"/>
        </w:rPr>
        <w:t xml:space="preserve">, and </w:t>
      </w:r>
      <w:r>
        <w:rPr>
          <w:rFonts w:ascii="Times New Roman" w:hAnsi="Times New Roman"/>
          <w:b w:val="0"/>
          <w:i/>
          <w:color w:val="000000"/>
          <w:sz w:val="18"/>
        </w:rPr>
        <w:t>Low Risk</w:t>
      </w:r>
      <w:r>
        <w:rPr>
          <w:rFonts w:ascii="Times New Roman" w:hAnsi="Times New Roman"/>
          <w:b w:val="0"/>
          <w:i w:val="0"/>
          <w:color w:val="000000"/>
          <w:sz w:val="18"/>
        </w:rPr>
        <w:t xml:space="preserve"> levels with reasons and intervention recommendations. The combined system increases recall to 0.7866 with a precision of 0.7043. The analytical results are presented through a static dashboard containing risk indicators, module-presentation priorities, dominant signals, and a student list for academic monitoring. This approach integrates prediction, rule-based interpretation, and visual decision support for early intervention at the course level.</w:t>
      </w:r>
    </w:p>
    <w:p>
      <w:pPr>
        <w:spacing w:after="100"/>
        <w:jc w:val="both"/>
      </w:pPr>
      <w:r>
        <w:rPr>
          <w:rFonts w:ascii="Times New Roman" w:hAnsi="Times New Roman"/>
          <w:b/>
          <w:i/>
          <w:color w:val="000000"/>
          <w:sz w:val="18"/>
        </w:rPr>
        <w:t xml:space="preserve">Keywords. </w:t>
      </w:r>
      <w:r>
        <w:rPr>
          <w:rFonts w:ascii="Times New Roman" w:hAnsi="Times New Roman"/>
          <w:b w:val="0"/>
          <w:i w:val="0"/>
          <w:color w:val="000000"/>
          <w:sz w:val="18"/>
        </w:rPr>
        <w:t>academic risk prediction, course withdrawal, course failure, supervised learning, OULAD, early warning system</w:t>
      </w:r>
    </w:p>
    <w:p>
      <w:pPr>
        <w:pStyle w:val="Heading1"/>
        <w:keepNext/>
        <w:spacing w:before="120" w:after="60"/>
        <w:jc w:val="center"/>
      </w:pPr>
      <w:r>
        <w:rPr>
          <w:rFonts w:ascii="Times New Roman" w:hAnsi="Times New Roman"/>
          <w:b w:val="0"/>
          <w:color w:val="000000"/>
          <w:sz w:val="20"/>
        </w:rPr>
        <w:t>I. INTRODUCTION</w:t>
      </w:r>
    </w:p>
    <w:p>
      <w:pPr>
        <w:spacing w:before="0" w:after="20" w:line="240" w:lineRule="auto"/>
        <w:ind w:firstLine="259"/>
        <w:jc w:val="both"/>
      </w:pPr>
      <w:r>
        <w:rPr>
          <w:rFonts w:ascii="Times New Roman" w:hAnsi="Times New Roman"/>
          <w:b w:val="0"/>
          <w:i w:val="0"/>
          <w:color w:val="000000"/>
          <w:sz w:val="20"/>
        </w:rPr>
        <w:t>Course failure and withdrawal are important concerns in higher education because they are associated with learning outcomes, the quality of academic services, and the effectiveness of institutional decision-making. Previous research has shown that machine learning can predict student retention from sociodemographic characteristics and engagement metrics [1]. Early warning systems extend the value of prediction by identifying risk while academic intervention remains feasible [2]. Risk information during the first weeks gives lecturers, tutors, and program administrators time to design relevant follow-up actions.</w:t>
      </w:r>
    </w:p>
    <w:p>
      <w:pPr>
        <w:spacing w:before="0" w:after="20" w:line="240" w:lineRule="auto"/>
        <w:ind w:firstLine="259"/>
        <w:jc w:val="both"/>
      </w:pPr>
      <w:r>
        <w:rPr>
          <w:rFonts w:ascii="Times New Roman" w:hAnsi="Times New Roman"/>
          <w:b w:val="0"/>
          <w:i w:val="0"/>
          <w:color w:val="000000"/>
          <w:sz w:val="20"/>
        </w:rPr>
        <w:t>Digital learning systems generate academic data and activity traces that can be used to characterize student engagement. These data include interactions with the Virtual Learning Environment (VLE), assessment participation, assessment performance, and initial registration information. Research on digital traces has shown that Learning Management System activity patterns can help explain variations in student performance and risk [3]. The Open University Learning Analytics Dataset (OULAD) provides such data in a relational structure covering student profiles, assessments, registration, and more than ten million VLE activity records [4].</w:t>
      </w:r>
    </w:p>
    <w:p>
      <w:pPr>
        <w:spacing w:before="0" w:after="20" w:line="240" w:lineRule="auto"/>
        <w:ind w:firstLine="259"/>
        <w:jc w:val="both"/>
      </w:pPr>
      <w:r>
        <w:rPr>
          <w:rFonts w:ascii="Times New Roman" w:hAnsi="Times New Roman"/>
          <w:b w:val="0"/>
          <w:i w:val="0"/>
          <w:color w:val="000000"/>
          <w:sz w:val="20"/>
        </w:rPr>
        <w:t>The predictive value of a model depends on whether its inputs are available at the time of decision. Full-semester activity or unregistration status may provide strong information for retrospective classification, whereas early warning requires features already observed at prediction time. This study uses a day-28 cut-off to represent the end of week four. Assessments and VLE activity after the cut-off are excluded from the predictors, and unregistration status is treated as future information. This temporal restriction yields a performance estimate that more closely represents an early-intervention setting.</w:t>
      </w:r>
    </w:p>
    <w:p>
      <w:pPr>
        <w:spacing w:before="0" w:after="20" w:line="240" w:lineRule="auto"/>
        <w:ind w:firstLine="259"/>
        <w:jc w:val="both"/>
      </w:pPr>
      <w:r>
        <w:rPr>
          <w:rFonts w:ascii="Times New Roman" w:hAnsi="Times New Roman"/>
          <w:b w:val="0"/>
          <w:i w:val="0"/>
          <w:color w:val="000000"/>
          <w:sz w:val="20"/>
        </w:rPr>
        <w:t>The literature indicates that risk detection must be connected to follow-up processes to create institutional value [2]. Machine learning models produce classes and probabilities, while stakeholders require risk reasons, priorities, and operationally interpretable recommendations. This need defines a research gap involving the integration of model evaluation, rule-based interpretation, and visual presentation for decision support.</w:t>
      </w:r>
    </w:p>
    <w:p>
      <w:pPr>
        <w:spacing w:before="0" w:after="20" w:line="240" w:lineRule="auto"/>
        <w:ind w:firstLine="259"/>
        <w:jc w:val="both"/>
      </w:pPr>
      <w:r>
        <w:rPr>
          <w:rFonts w:ascii="Times New Roman" w:hAnsi="Times New Roman"/>
          <w:b w:val="0"/>
          <w:i w:val="0"/>
          <w:color w:val="000000"/>
          <w:sz w:val="20"/>
        </w:rPr>
        <w:t>This study aims to develop a binary classification of students at risk of unsuccessful course outcomes in week four, evaluate three supervised learning algorithms, and integrate the selected model with a knowledge-based risk layer. The system output is translated into a Business Intelligence dashboard for risk monitoring and intervention prioritization at the module-presentation level.</w:t>
      </w:r>
    </w:p>
    <w:p>
      <w:pPr>
        <w:spacing w:before="0" w:after="20" w:line="240" w:lineRule="auto"/>
        <w:ind w:firstLine="259"/>
        <w:jc w:val="both"/>
      </w:pPr>
      <w:r>
        <w:rPr>
          <w:rFonts w:ascii="Times New Roman" w:hAnsi="Times New Roman"/>
          <w:b w:val="0"/>
          <w:i w:val="0"/>
          <w:color w:val="000000"/>
          <w:sz w:val="20"/>
        </w:rPr>
        <w:t xml:space="preserve">The study makes four contributions. First, it constructs an early warning dataset at the student-module-presentation level using a day-28 cut-off. Second, the evaluation uses an </w:t>
      </w:r>
      <w:r>
        <w:rPr>
          <w:rFonts w:ascii="Times New Roman" w:hAnsi="Times New Roman"/>
          <w:b w:val="0"/>
          <w:i/>
          <w:color w:val="000000"/>
          <w:sz w:val="20"/>
        </w:rPr>
        <w:t>id_student</w:t>
      </w:r>
      <w:r>
        <w:rPr>
          <w:rFonts w:ascii="Times New Roman" w:hAnsi="Times New Roman"/>
          <w:b w:val="0"/>
          <w:i w:val="0"/>
          <w:color w:val="000000"/>
          <w:sz w:val="20"/>
        </w:rPr>
        <w:t>-based split to maintain student independence between training and testing data. Third, the knowledge-based risk layer produces levels, reasons, and recommendations from model predictions and early behavior. Fourth, the dashboard transforms analytical outputs into indicators that support decisions by academic leaders, study programs, tutors, academic advisors, and counseling teams.</w:t>
      </w:r>
    </w:p>
    <w:p>
      <w:pPr>
        <w:pStyle w:val="Heading1"/>
        <w:keepNext/>
        <w:spacing w:before="120" w:after="60"/>
        <w:jc w:val="center"/>
      </w:pPr>
      <w:r>
        <w:rPr>
          <w:rFonts w:ascii="Times New Roman" w:hAnsi="Times New Roman"/>
          <w:b w:val="0"/>
          <w:color w:val="000000"/>
          <w:sz w:val="20"/>
        </w:rPr>
        <w:t>II. RELATED WORKS</w:t>
      </w:r>
    </w:p>
    <w:p>
      <w:pPr>
        <w:spacing w:before="0" w:after="20" w:line="240" w:lineRule="auto"/>
        <w:ind w:firstLine="259"/>
        <w:jc w:val="both"/>
      </w:pPr>
      <w:r>
        <w:rPr>
          <w:rFonts w:ascii="Times New Roman" w:hAnsi="Times New Roman"/>
          <w:b w:val="0"/>
          <w:i w:val="0"/>
          <w:color w:val="000000"/>
          <w:sz w:val="20"/>
        </w:rPr>
        <w:t>Student dropout and academic performance analytics use academic, sociodemographic, and digital activity data to predict study continuation and learning outcomes. Early information, including sociodemographic characteristics, academic history, and digital engagement, has predictive value for student retention [1]. In OULAD, the target concerns the final course outcome for each student-module-presentation.</w:t>
      </w:r>
    </w:p>
    <w:p>
      <w:pPr>
        <w:spacing w:before="0" w:after="20" w:line="240" w:lineRule="auto"/>
        <w:ind w:firstLine="259"/>
        <w:jc w:val="both"/>
      </w:pPr>
      <w:r>
        <w:rPr>
          <w:rFonts w:ascii="Times New Roman" w:hAnsi="Times New Roman"/>
          <w:b w:val="0"/>
          <w:i w:val="0"/>
          <w:color w:val="000000"/>
          <w:sz w:val="20"/>
        </w:rPr>
        <w:t xml:space="preserve">Early warning systems connect predictive results to intervention processes. Plak et al. showed that risk information should be accompanied by a follow-up design to influence academic outcomes [2]. Shou et al. used OULAD to predict student performance through a multidimensional time-series approach combining learning behavior, assessment scores, and demographic information. At 20% of the course duration, their daily MTAPSP model achieved an accuracy of 0.9179 and an F1-score of 0.9180 for a binary target contrasting </w:t>
      </w:r>
      <w:r>
        <w:rPr>
          <w:rFonts w:ascii="Times New Roman" w:hAnsi="Times New Roman"/>
          <w:b w:val="0"/>
          <w:i/>
          <w:color w:val="000000"/>
          <w:sz w:val="20"/>
        </w:rPr>
        <w:t>Pass</w:t>
      </w:r>
      <w:r>
        <w:rPr>
          <w:rFonts w:ascii="Times New Roman" w:hAnsi="Times New Roman"/>
          <w:b w:val="0"/>
          <w:i w:val="0"/>
          <w:color w:val="000000"/>
          <w:sz w:val="20"/>
        </w:rPr>
        <w:t xml:space="preserve"> and </w:t>
      </w:r>
      <w:r>
        <w:rPr>
          <w:rFonts w:ascii="Times New Roman" w:hAnsi="Times New Roman"/>
          <w:b w:val="0"/>
          <w:i/>
          <w:color w:val="000000"/>
          <w:sz w:val="20"/>
        </w:rPr>
        <w:t>Distinction</w:t>
      </w:r>
      <w:r>
        <w:rPr>
          <w:rFonts w:ascii="Times New Roman" w:hAnsi="Times New Roman"/>
          <w:b w:val="0"/>
          <w:i w:val="0"/>
          <w:color w:val="000000"/>
          <w:sz w:val="20"/>
        </w:rPr>
        <w:t xml:space="preserve"> with </w:t>
      </w:r>
      <w:r>
        <w:rPr>
          <w:rFonts w:ascii="Times New Roman" w:hAnsi="Times New Roman"/>
          <w:b w:val="0"/>
          <w:i/>
          <w:color w:val="000000"/>
          <w:sz w:val="20"/>
        </w:rPr>
        <w:t>Fail</w:t>
      </w:r>
      <w:r>
        <w:rPr>
          <w:rFonts w:ascii="Times New Roman" w:hAnsi="Times New Roman"/>
          <w:b w:val="0"/>
          <w:i w:val="0"/>
          <w:color w:val="000000"/>
          <w:sz w:val="20"/>
        </w:rPr>
        <w:t xml:space="preserve"> and </w:t>
      </w:r>
      <w:r>
        <w:rPr>
          <w:rFonts w:ascii="Times New Roman" w:hAnsi="Times New Roman"/>
          <w:b w:val="0"/>
          <w:i/>
          <w:color w:val="000000"/>
          <w:sz w:val="20"/>
        </w:rPr>
        <w:t>Withdrawn</w:t>
      </w:r>
      <w:r>
        <w:rPr>
          <w:rFonts w:ascii="Times New Roman" w:hAnsi="Times New Roman"/>
          <w:b w:val="0"/>
          <w:i w:val="0"/>
          <w:color w:val="000000"/>
          <w:sz w:val="20"/>
        </w:rPr>
        <w:t xml:space="preserve"> [5]. Their findings highlight the observation horizon as an important factor when interpreting early warning performance.</w:t>
      </w:r>
    </w:p>
    <w:p>
      <w:pPr>
        <w:spacing w:before="0" w:after="20" w:line="240" w:lineRule="auto"/>
        <w:ind w:firstLine="259"/>
        <w:jc w:val="both"/>
      </w:pPr>
      <w:r>
        <w:rPr>
          <w:rFonts w:ascii="Times New Roman" w:hAnsi="Times New Roman"/>
          <w:b w:val="0"/>
          <w:i w:val="0"/>
          <w:color w:val="000000"/>
          <w:sz w:val="20"/>
        </w:rPr>
        <w:t>OULAD research has continued to combine assessment features, VLE activity, and student profiles. Jawad et al. applied Random Forest with SMOTE and obtained a testing accuracy of 0.892 in a 260-day scenario [6]. Balabied and Eid reported an accuracy and F1-score of 0.90 using Random Forest [7]. Ujkani et al. obtained an accuracy of 0.93 with a custom neural network [8], while the KANFormer proposed by Alnasyan et al. achieved an accuracy of 0.9459 and an F1-score of 0.9481 [9]. Shou et al. [5], Ujkani et al. [8], and Alnasyan et al. [9] used comparable target definitions. Differences in horizon, splitting, balancing, and model architecture still determine the context of comparison.</w:t>
      </w:r>
    </w:p>
    <w:p>
      <w:pPr>
        <w:spacing w:before="0" w:after="20" w:line="240" w:lineRule="auto"/>
        <w:ind w:firstLine="259"/>
        <w:jc w:val="both"/>
      </w:pPr>
      <w:r>
        <w:rPr>
          <w:rFonts w:ascii="Times New Roman" w:hAnsi="Times New Roman"/>
          <w:b w:val="0"/>
          <w:i w:val="0"/>
          <w:color w:val="000000"/>
          <w:sz w:val="20"/>
        </w:rPr>
        <w:t>Hybrid approaches integrate multiple data sources to identify at-risk students [10]. Other studies cover XGBoost-based early warning [11], AutoML [12], precision education [13], phased prediction [14], LMS usage patterns [15], and cross-institutional analysis [16]. This diversity shows that features, observation horizons, and institutional contexts shape the interpretation of model performance.</w:t>
      </w:r>
    </w:p>
    <w:p>
      <w:pPr>
        <w:spacing w:before="0" w:after="20" w:line="240" w:lineRule="auto"/>
        <w:ind w:firstLine="259"/>
        <w:jc w:val="both"/>
      </w:pPr>
      <w:r>
        <w:rPr>
          <w:rFonts w:ascii="Times New Roman" w:hAnsi="Times New Roman"/>
          <w:b w:val="0"/>
          <w:i w:val="0"/>
          <w:color w:val="000000"/>
          <w:sz w:val="20"/>
        </w:rPr>
        <w:t>This study is positioned at the integration of three components. Supervised learning generates risk probabilities, a knowledge-based risk layer translates probabilities and behavioral signals into reasons and priority levels, and a dashboard presents the results as visual decision support. The week-four cut-off maintains temporal alignment between the predictors and the intervention point. This integration connects technical evaluation with actionable academic monitoring requirements.</w:t>
      </w:r>
    </w:p>
    <w:p>
      <w:pPr>
        <w:pStyle w:val="Heading1"/>
        <w:keepNext/>
        <w:spacing w:before="120" w:after="60"/>
        <w:jc w:val="center"/>
      </w:pPr>
      <w:r>
        <w:rPr>
          <w:rFonts w:ascii="Times New Roman" w:hAnsi="Times New Roman"/>
          <w:b w:val="0"/>
          <w:color w:val="000000"/>
          <w:sz w:val="20"/>
        </w:rPr>
        <w:t>III. METHODOLOGY</w:t>
      </w:r>
    </w:p>
    <w:p>
      <w:pPr>
        <w:pStyle w:val="Heading2"/>
        <w:keepNext/>
        <w:spacing w:before="80" w:after="20"/>
        <w:jc w:val="left"/>
      </w:pPr>
      <w:r>
        <w:rPr>
          <w:rFonts w:ascii="Times New Roman" w:hAnsi="Times New Roman"/>
          <w:i/>
          <w:color w:val="000000"/>
          <w:sz w:val="20"/>
        </w:rPr>
        <w:t>A. Research Design</w:t>
      </w:r>
    </w:p>
    <w:p>
      <w:pPr>
        <w:spacing w:before="0" w:after="20" w:line="240" w:lineRule="auto"/>
        <w:ind w:firstLine="259"/>
        <w:jc w:val="both"/>
      </w:pPr>
      <w:r>
        <w:rPr>
          <w:rFonts w:ascii="Times New Roman" w:hAnsi="Times New Roman"/>
          <w:b w:val="0"/>
          <w:i w:val="0"/>
          <w:color w:val="000000"/>
          <w:sz w:val="20"/>
        </w:rPr>
        <w:t xml:space="preserve">This study uses supervised binary classification to identify students at risk of unsuccessful course outcomes by the end of week four. The workflow includes OULAD auditing, feature construction with a temporal cut-off, exploratory data analysis, student-grouped splitting, model evaluation, a knowledge-based risk layer, and a Business Intelligence dashboard. All experiments use </w:t>
      </w:r>
      <w:r>
        <w:rPr>
          <w:rFonts w:ascii="Times New Roman" w:hAnsi="Times New Roman"/>
          <w:b w:val="0"/>
          <w:i/>
          <w:color w:val="000000"/>
          <w:sz w:val="20"/>
        </w:rPr>
        <w:t>random_state=42</w:t>
      </w:r>
      <w:r>
        <w:rPr>
          <w:rFonts w:ascii="Times New Roman" w:hAnsi="Times New Roman"/>
          <w:b w:val="0"/>
          <w:i w:val="0"/>
          <w:color w:val="000000"/>
          <w:sz w:val="20"/>
        </w:rPr>
        <w:t>.</w:t>
      </w:r>
    </w:p>
    <w:p>
      <w:pPr>
        <w:pStyle w:val="Heading2"/>
        <w:keepNext/>
        <w:spacing w:before="80" w:after="20"/>
        <w:jc w:val="left"/>
      </w:pPr>
      <w:r>
        <w:rPr>
          <w:rFonts w:ascii="Times New Roman" w:hAnsi="Times New Roman"/>
          <w:i/>
          <w:color w:val="000000"/>
          <w:sz w:val="20"/>
        </w:rPr>
        <w:t>B. Dataset and Unit of Analysis</w:t>
      </w:r>
    </w:p>
    <w:p>
      <w:pPr>
        <w:spacing w:before="0" w:after="20" w:line="240" w:lineRule="auto"/>
        <w:ind w:firstLine="259"/>
        <w:jc w:val="both"/>
      </w:pPr>
      <w:r>
        <w:rPr>
          <w:rFonts w:ascii="Times New Roman" w:hAnsi="Times New Roman"/>
          <w:b w:val="0"/>
          <w:i w:val="0"/>
          <w:color w:val="000000"/>
          <w:sz w:val="20"/>
        </w:rPr>
        <w:t xml:space="preserve">The Open University Learning Analytics Dataset (OULAD) [4] was obtained from the UCI Machine Learning Repository. The analysis uses the </w:t>
      </w:r>
      <w:r>
        <w:rPr>
          <w:rFonts w:ascii="Times New Roman" w:hAnsi="Times New Roman"/>
          <w:b w:val="0"/>
          <w:i/>
          <w:color w:val="000000"/>
          <w:sz w:val="20"/>
        </w:rPr>
        <w:t>studentInfo</w:t>
      </w:r>
      <w:r>
        <w:rPr>
          <w:rFonts w:ascii="Times New Roman" w:hAnsi="Times New Roman"/>
          <w:b w:val="0"/>
          <w:i w:val="0"/>
          <w:color w:val="000000"/>
          <w:sz w:val="20"/>
        </w:rPr>
        <w:t xml:space="preserve">, </w:t>
      </w:r>
      <w:r>
        <w:rPr>
          <w:rFonts w:ascii="Times New Roman" w:hAnsi="Times New Roman"/>
          <w:b w:val="0"/>
          <w:i/>
          <w:color w:val="000000"/>
          <w:sz w:val="20"/>
        </w:rPr>
        <w:t>studentRegistration</w:t>
      </w:r>
      <w:r>
        <w:rPr>
          <w:rFonts w:ascii="Times New Roman" w:hAnsi="Times New Roman"/>
          <w:b w:val="0"/>
          <w:i w:val="0"/>
          <w:color w:val="000000"/>
          <w:sz w:val="20"/>
        </w:rPr>
        <w:t xml:space="preserve">, </w:t>
      </w:r>
      <w:r>
        <w:rPr>
          <w:rFonts w:ascii="Times New Roman" w:hAnsi="Times New Roman"/>
          <w:b w:val="0"/>
          <w:i/>
          <w:color w:val="000000"/>
          <w:sz w:val="20"/>
        </w:rPr>
        <w:t>assessments</w:t>
      </w:r>
      <w:r>
        <w:rPr>
          <w:rFonts w:ascii="Times New Roman" w:hAnsi="Times New Roman"/>
          <w:b w:val="0"/>
          <w:i w:val="0"/>
          <w:color w:val="000000"/>
          <w:sz w:val="20"/>
        </w:rPr>
        <w:t xml:space="preserve">, </w:t>
      </w:r>
      <w:r>
        <w:rPr>
          <w:rFonts w:ascii="Times New Roman" w:hAnsi="Times New Roman"/>
          <w:b w:val="0"/>
          <w:i/>
          <w:color w:val="000000"/>
          <w:sz w:val="20"/>
        </w:rPr>
        <w:t>studentAssessment</w:t>
      </w:r>
      <w:r>
        <w:rPr>
          <w:rFonts w:ascii="Times New Roman" w:hAnsi="Times New Roman"/>
          <w:b w:val="0"/>
          <w:i w:val="0"/>
          <w:color w:val="000000"/>
          <w:sz w:val="20"/>
        </w:rPr>
        <w:t xml:space="preserve">, </w:t>
      </w:r>
      <w:r>
        <w:rPr>
          <w:rFonts w:ascii="Times New Roman" w:hAnsi="Times New Roman"/>
          <w:b w:val="0"/>
          <w:i/>
          <w:color w:val="000000"/>
          <w:sz w:val="20"/>
        </w:rPr>
        <w:t>studentVle</w:t>
      </w:r>
      <w:r>
        <w:rPr>
          <w:rFonts w:ascii="Times New Roman" w:hAnsi="Times New Roman"/>
          <w:b w:val="0"/>
          <w:i w:val="0"/>
          <w:color w:val="000000"/>
          <w:sz w:val="20"/>
        </w:rPr>
        <w:t xml:space="preserve">, </w:t>
      </w:r>
      <w:r>
        <w:rPr>
          <w:rFonts w:ascii="Times New Roman" w:hAnsi="Times New Roman"/>
          <w:b w:val="0"/>
          <w:i/>
          <w:color w:val="000000"/>
          <w:sz w:val="20"/>
        </w:rPr>
        <w:t>courses</w:t>
      </w:r>
      <w:r>
        <w:rPr>
          <w:rFonts w:ascii="Times New Roman" w:hAnsi="Times New Roman"/>
          <w:b w:val="0"/>
          <w:i w:val="0"/>
          <w:color w:val="000000"/>
          <w:sz w:val="20"/>
        </w:rPr>
        <w:t xml:space="preserve">, and </w:t>
      </w:r>
      <w:r>
        <w:rPr>
          <w:rFonts w:ascii="Times New Roman" w:hAnsi="Times New Roman"/>
          <w:b w:val="0"/>
          <w:i/>
          <w:color w:val="000000"/>
          <w:sz w:val="20"/>
        </w:rPr>
        <w:t>vle</w:t>
      </w:r>
      <w:r>
        <w:rPr>
          <w:rFonts w:ascii="Times New Roman" w:hAnsi="Times New Roman"/>
          <w:b w:val="0"/>
          <w:i w:val="0"/>
          <w:color w:val="000000"/>
          <w:sz w:val="20"/>
        </w:rPr>
        <w:t xml:space="preserve"> tables. </w:t>
      </w:r>
      <w:r>
        <w:rPr>
          <w:rFonts w:ascii="Times New Roman" w:hAnsi="Times New Roman"/>
          <w:b w:val="0"/>
          <w:i/>
          <w:color w:val="000000"/>
          <w:sz w:val="20"/>
        </w:rPr>
        <w:t>studentInfo</w:t>
      </w:r>
      <w:r>
        <w:rPr>
          <w:rFonts w:ascii="Times New Roman" w:hAnsi="Times New Roman"/>
          <w:b w:val="0"/>
          <w:i w:val="0"/>
          <w:color w:val="000000"/>
          <w:sz w:val="20"/>
        </w:rPr>
        <w:t xml:space="preserve"> contains 32,593 rows, while </w:t>
      </w:r>
      <w:r>
        <w:rPr>
          <w:rFonts w:ascii="Times New Roman" w:hAnsi="Times New Roman"/>
          <w:b w:val="0"/>
          <w:i/>
          <w:color w:val="000000"/>
          <w:sz w:val="20"/>
        </w:rPr>
        <w:t>studentVle</w:t>
      </w:r>
      <w:r>
        <w:rPr>
          <w:rFonts w:ascii="Times New Roman" w:hAnsi="Times New Roman"/>
          <w:b w:val="0"/>
          <w:i w:val="0"/>
          <w:color w:val="000000"/>
          <w:sz w:val="20"/>
        </w:rPr>
        <w:t xml:space="preserve"> contains 10,655,280 activity records.</w:t>
      </w:r>
    </w:p>
    <w:p>
      <w:pPr>
        <w:spacing w:before="0" w:after="20" w:line="240" w:lineRule="auto"/>
        <w:ind w:firstLine="259"/>
        <w:jc w:val="both"/>
      </w:pPr>
      <w:r>
        <w:rPr>
          <w:rFonts w:ascii="Times New Roman" w:hAnsi="Times New Roman"/>
          <w:b w:val="0"/>
          <w:i w:val="0"/>
          <w:color w:val="000000"/>
          <w:sz w:val="20"/>
        </w:rPr>
        <w:t xml:space="preserve">Each preprocessed row represents one student in one combination of </w:t>
      </w:r>
      <w:r>
        <w:rPr>
          <w:rFonts w:ascii="Times New Roman" w:hAnsi="Times New Roman"/>
          <w:b w:val="0"/>
          <w:i/>
          <w:color w:val="000000"/>
          <w:sz w:val="20"/>
        </w:rPr>
        <w:t>code_module</w:t>
      </w:r>
      <w:r>
        <w:rPr>
          <w:rFonts w:ascii="Times New Roman" w:hAnsi="Times New Roman"/>
          <w:b w:val="0"/>
          <w:i w:val="0"/>
          <w:color w:val="000000"/>
          <w:sz w:val="20"/>
        </w:rPr>
        <w:t xml:space="preserve"> and </w:t>
      </w:r>
      <w:r>
        <w:rPr>
          <w:rFonts w:ascii="Times New Roman" w:hAnsi="Times New Roman"/>
          <w:b w:val="0"/>
          <w:i/>
          <w:color w:val="000000"/>
          <w:sz w:val="20"/>
        </w:rPr>
        <w:t>code_presentation</w:t>
      </w:r>
      <w:r>
        <w:rPr>
          <w:rFonts w:ascii="Times New Roman" w:hAnsi="Times New Roman"/>
          <w:b w:val="0"/>
          <w:i w:val="0"/>
          <w:color w:val="000000"/>
          <w:sz w:val="20"/>
        </w:rPr>
        <w:t xml:space="preserve">. This student-module-presentation unit follows the label structure in </w:t>
      </w:r>
      <w:r>
        <w:rPr>
          <w:rFonts w:ascii="Times New Roman" w:hAnsi="Times New Roman"/>
          <w:b w:val="0"/>
          <w:i/>
          <w:color w:val="000000"/>
          <w:sz w:val="20"/>
        </w:rPr>
        <w:t>studentInfo</w:t>
      </w:r>
      <w:r>
        <w:rPr>
          <w:rFonts w:ascii="Times New Roman" w:hAnsi="Times New Roman"/>
          <w:b w:val="0"/>
          <w:i w:val="0"/>
          <w:color w:val="000000"/>
          <w:sz w:val="20"/>
        </w:rPr>
        <w:t xml:space="preserve"> and supports the consistent integration of registration, assessment, and VLE data.</w:t>
      </w:r>
    </w:p>
    <w:p>
      <w:pPr>
        <w:pStyle w:val="Heading2"/>
        <w:keepNext/>
        <w:spacing w:before="80" w:after="20"/>
        <w:jc w:val="left"/>
      </w:pPr>
      <w:r>
        <w:rPr>
          <w:rFonts w:ascii="Times New Roman" w:hAnsi="Times New Roman"/>
          <w:i/>
          <w:color w:val="000000"/>
          <w:sz w:val="20"/>
        </w:rPr>
        <w:t>C. Target Label and Temporal Cut-off</w:t>
      </w:r>
    </w:p>
    <w:p>
      <w:pPr>
        <w:spacing w:before="0" w:after="20" w:line="240" w:lineRule="auto"/>
        <w:ind w:firstLine="259"/>
        <w:jc w:val="both"/>
      </w:pPr>
      <w:r>
        <w:rPr>
          <w:rFonts w:ascii="Times New Roman" w:hAnsi="Times New Roman"/>
          <w:b w:val="0"/>
          <w:i w:val="0"/>
          <w:color w:val="000000"/>
          <w:sz w:val="20"/>
        </w:rPr>
        <w:t xml:space="preserve">The target is formulated as a binary classification at the course level. The </w:t>
      </w:r>
      <w:r>
        <w:rPr>
          <w:rFonts w:ascii="Times New Roman" w:hAnsi="Times New Roman"/>
          <w:b w:val="0"/>
          <w:i/>
          <w:color w:val="000000"/>
          <w:sz w:val="20"/>
        </w:rPr>
        <w:t>AtRisk</w:t>
      </w:r>
      <w:r>
        <w:rPr>
          <w:rFonts w:ascii="Times New Roman" w:hAnsi="Times New Roman"/>
          <w:b w:val="0"/>
          <w:i w:val="0"/>
          <w:color w:val="000000"/>
          <w:sz w:val="20"/>
        </w:rPr>
        <w:t xml:space="preserve"> label is assigned to rows whose </w:t>
      </w:r>
      <w:r>
        <w:rPr>
          <w:rFonts w:ascii="Times New Roman" w:hAnsi="Times New Roman"/>
          <w:b w:val="0"/>
          <w:i/>
          <w:color w:val="000000"/>
          <w:sz w:val="20"/>
        </w:rPr>
        <w:t>final_result</w:t>
      </w:r>
      <w:r>
        <w:rPr>
          <w:rFonts w:ascii="Times New Roman" w:hAnsi="Times New Roman"/>
          <w:b w:val="0"/>
          <w:i w:val="0"/>
          <w:color w:val="000000"/>
          <w:sz w:val="20"/>
        </w:rPr>
        <w:t xml:space="preserve"> is </w:t>
      </w:r>
      <w:r>
        <w:rPr>
          <w:rFonts w:ascii="Times New Roman" w:hAnsi="Times New Roman"/>
          <w:b w:val="0"/>
          <w:i/>
          <w:color w:val="000000"/>
          <w:sz w:val="20"/>
        </w:rPr>
        <w:t>Withdrawn</w:t>
      </w:r>
      <w:r>
        <w:rPr>
          <w:rFonts w:ascii="Times New Roman" w:hAnsi="Times New Roman"/>
          <w:b w:val="0"/>
          <w:i w:val="0"/>
          <w:color w:val="000000"/>
          <w:sz w:val="20"/>
        </w:rPr>
        <w:t xml:space="preserve"> or </w:t>
      </w:r>
      <w:r>
        <w:rPr>
          <w:rFonts w:ascii="Times New Roman" w:hAnsi="Times New Roman"/>
          <w:b w:val="0"/>
          <w:i/>
          <w:color w:val="000000"/>
          <w:sz w:val="20"/>
        </w:rPr>
        <w:t>Fail</w:t>
      </w:r>
      <w:r>
        <w:rPr>
          <w:rFonts w:ascii="Times New Roman" w:hAnsi="Times New Roman"/>
          <w:b w:val="0"/>
          <w:i w:val="0"/>
          <w:color w:val="000000"/>
          <w:sz w:val="20"/>
        </w:rPr>
        <w:t xml:space="preserve">. The </w:t>
      </w:r>
      <w:r>
        <w:rPr>
          <w:rFonts w:ascii="Times New Roman" w:hAnsi="Times New Roman"/>
          <w:b w:val="0"/>
          <w:i/>
          <w:color w:val="000000"/>
          <w:sz w:val="20"/>
        </w:rPr>
        <w:t>Successful</w:t>
      </w:r>
      <w:r>
        <w:rPr>
          <w:rFonts w:ascii="Times New Roman" w:hAnsi="Times New Roman"/>
          <w:b w:val="0"/>
          <w:i w:val="0"/>
          <w:color w:val="000000"/>
          <w:sz w:val="20"/>
        </w:rPr>
        <w:t xml:space="preserve"> label is assigned to rows whose </w:t>
      </w:r>
      <w:r>
        <w:rPr>
          <w:rFonts w:ascii="Times New Roman" w:hAnsi="Times New Roman"/>
          <w:b w:val="0"/>
          <w:i/>
          <w:color w:val="000000"/>
          <w:sz w:val="20"/>
        </w:rPr>
        <w:t>final_result</w:t>
      </w:r>
      <w:r>
        <w:rPr>
          <w:rFonts w:ascii="Times New Roman" w:hAnsi="Times New Roman"/>
          <w:b w:val="0"/>
          <w:i w:val="0"/>
          <w:color w:val="000000"/>
          <w:sz w:val="20"/>
        </w:rPr>
        <w:t xml:space="preserve"> is </w:t>
      </w:r>
      <w:r>
        <w:rPr>
          <w:rFonts w:ascii="Times New Roman" w:hAnsi="Times New Roman"/>
          <w:b w:val="0"/>
          <w:i/>
          <w:color w:val="000000"/>
          <w:sz w:val="20"/>
        </w:rPr>
        <w:t>Pass</w:t>
      </w:r>
      <w:r>
        <w:rPr>
          <w:rFonts w:ascii="Times New Roman" w:hAnsi="Times New Roman"/>
          <w:b w:val="0"/>
          <w:i w:val="0"/>
          <w:color w:val="000000"/>
          <w:sz w:val="20"/>
        </w:rPr>
        <w:t xml:space="preserve"> or </w:t>
      </w:r>
      <w:r>
        <w:rPr>
          <w:rFonts w:ascii="Times New Roman" w:hAnsi="Times New Roman"/>
          <w:b w:val="0"/>
          <w:i/>
          <w:color w:val="000000"/>
          <w:sz w:val="20"/>
        </w:rPr>
        <w:t>Distinction</w:t>
      </w:r>
      <w:r>
        <w:rPr>
          <w:rFonts w:ascii="Times New Roman" w:hAnsi="Times New Roman"/>
          <w:b w:val="0"/>
          <w:i w:val="0"/>
          <w:color w:val="000000"/>
          <w:sz w:val="20"/>
        </w:rPr>
        <w:t xml:space="preserve">. These statuses describe a student's outcome in a specific module-presentation. The dataset contains 17,208 </w:t>
      </w:r>
      <w:r>
        <w:rPr>
          <w:rFonts w:ascii="Times New Roman" w:hAnsi="Times New Roman"/>
          <w:b w:val="0"/>
          <w:i/>
          <w:color w:val="000000"/>
          <w:sz w:val="20"/>
        </w:rPr>
        <w:t>AtRisk</w:t>
      </w:r>
      <w:r>
        <w:rPr>
          <w:rFonts w:ascii="Times New Roman" w:hAnsi="Times New Roman"/>
          <w:b w:val="0"/>
          <w:i w:val="0"/>
          <w:color w:val="000000"/>
          <w:sz w:val="20"/>
        </w:rPr>
        <w:t xml:space="preserve"> rows and 15,385 </w:t>
      </w:r>
      <w:r>
        <w:rPr>
          <w:rFonts w:ascii="Times New Roman" w:hAnsi="Times New Roman"/>
          <w:b w:val="0"/>
          <w:i/>
          <w:color w:val="000000"/>
          <w:sz w:val="20"/>
        </w:rPr>
        <w:t>Successful</w:t>
      </w:r>
      <w:r>
        <w:rPr>
          <w:rFonts w:ascii="Times New Roman" w:hAnsi="Times New Roman"/>
          <w:b w:val="0"/>
          <w:i w:val="0"/>
          <w:color w:val="000000"/>
          <w:sz w:val="20"/>
        </w:rPr>
        <w:t xml:space="preserve"> rows.</w:t>
      </w:r>
    </w:p>
    <w:p>
      <w:pPr>
        <w:spacing w:before="0" w:after="20" w:line="240" w:lineRule="auto"/>
        <w:ind w:firstLine="259"/>
        <w:jc w:val="both"/>
      </w:pPr>
      <w:r>
        <w:rPr>
          <w:rFonts w:ascii="Times New Roman" w:hAnsi="Times New Roman"/>
          <w:b w:val="0"/>
          <w:i w:val="0"/>
          <w:color w:val="000000"/>
          <w:sz w:val="20"/>
        </w:rPr>
        <w:t xml:space="preserve">The early warning horizon is set at day 28. Assessment submissions are selected using </w:t>
      </w:r>
      <w:r>
        <w:rPr>
          <w:rFonts w:ascii="Times New Roman" w:hAnsi="Times New Roman"/>
          <w:b w:val="0"/>
          <w:i/>
          <w:color w:val="000000"/>
          <w:sz w:val="20"/>
        </w:rPr>
        <w:t>date_submitted &lt;= 28</w:t>
      </w:r>
      <w:r>
        <w:rPr>
          <w:rFonts w:ascii="Times New Roman" w:hAnsi="Times New Roman"/>
          <w:b w:val="0"/>
          <w:i w:val="0"/>
          <w:color w:val="000000"/>
          <w:sz w:val="20"/>
        </w:rPr>
        <w:t xml:space="preserve">, and VLE activity is selected using </w:t>
      </w:r>
      <w:r>
        <w:rPr>
          <w:rFonts w:ascii="Times New Roman" w:hAnsi="Times New Roman"/>
          <w:b w:val="0"/>
          <w:i/>
          <w:color w:val="000000"/>
          <w:sz w:val="20"/>
        </w:rPr>
        <w:t>date &lt;= 28</w:t>
      </w:r>
      <w:r>
        <w:rPr>
          <w:rFonts w:ascii="Times New Roman" w:hAnsi="Times New Roman"/>
          <w:b w:val="0"/>
          <w:i w:val="0"/>
          <w:color w:val="000000"/>
          <w:sz w:val="20"/>
        </w:rPr>
        <w:t xml:space="preserve">. The </w:t>
      </w:r>
      <w:r>
        <w:rPr>
          <w:rFonts w:ascii="Times New Roman" w:hAnsi="Times New Roman"/>
          <w:b w:val="0"/>
          <w:i/>
          <w:color w:val="000000"/>
          <w:sz w:val="20"/>
        </w:rPr>
        <w:t>date_unregistration</w:t>
      </w:r>
      <w:r>
        <w:rPr>
          <w:rFonts w:ascii="Times New Roman" w:hAnsi="Times New Roman"/>
          <w:b w:val="0"/>
          <w:i w:val="0"/>
          <w:color w:val="000000"/>
          <w:sz w:val="20"/>
        </w:rPr>
        <w:t xml:space="preserve">, </w:t>
      </w:r>
      <w:r>
        <w:rPr>
          <w:rFonts w:ascii="Times New Roman" w:hAnsi="Times New Roman"/>
          <w:b w:val="0"/>
          <w:i/>
          <w:color w:val="000000"/>
          <w:sz w:val="20"/>
        </w:rPr>
        <w:t>has_unregistration</w:t>
      </w:r>
      <w:r>
        <w:rPr>
          <w:rFonts w:ascii="Times New Roman" w:hAnsi="Times New Roman"/>
          <w:b w:val="0"/>
          <w:i w:val="0"/>
          <w:color w:val="000000"/>
          <w:sz w:val="20"/>
        </w:rPr>
        <w:t>, final outcome, and activity after day 28 are excluded from the predictors. The final outcome is used only to construct the evaluation target.</w:t>
      </w:r>
    </w:p>
    <w:p>
      <w:pPr>
        <w:pStyle w:val="Heading2"/>
        <w:keepNext/>
        <w:spacing w:before="80" w:after="20"/>
        <w:jc w:val="left"/>
      </w:pPr>
      <w:r>
        <w:rPr>
          <w:rFonts w:ascii="Times New Roman" w:hAnsi="Times New Roman"/>
          <w:i/>
          <w:color w:val="000000"/>
          <w:sz w:val="20"/>
        </w:rPr>
        <w:t>D. Feature Construction</w:t>
      </w:r>
    </w:p>
    <w:p>
      <w:pPr>
        <w:spacing w:before="0" w:after="20" w:line="240" w:lineRule="auto"/>
        <w:ind w:firstLine="259"/>
        <w:jc w:val="both"/>
      </w:pPr>
      <w:r>
        <w:rPr>
          <w:rFonts w:ascii="Times New Roman" w:hAnsi="Times New Roman"/>
          <w:b w:val="0"/>
          <w:i w:val="0"/>
          <w:color w:val="000000"/>
          <w:sz w:val="20"/>
        </w:rPr>
        <w:t xml:space="preserve">Categorical features include </w:t>
      </w:r>
      <w:r>
        <w:rPr>
          <w:rFonts w:ascii="Times New Roman" w:hAnsi="Times New Roman"/>
          <w:b w:val="0"/>
          <w:i/>
          <w:color w:val="000000"/>
          <w:sz w:val="20"/>
        </w:rPr>
        <w:t>gender</w:t>
      </w:r>
      <w:r>
        <w:rPr>
          <w:rFonts w:ascii="Times New Roman" w:hAnsi="Times New Roman"/>
          <w:b w:val="0"/>
          <w:i w:val="0"/>
          <w:color w:val="000000"/>
          <w:sz w:val="20"/>
        </w:rPr>
        <w:t xml:space="preserve">, </w:t>
      </w:r>
      <w:r>
        <w:rPr>
          <w:rFonts w:ascii="Times New Roman" w:hAnsi="Times New Roman"/>
          <w:b w:val="0"/>
          <w:i/>
          <w:color w:val="000000"/>
          <w:sz w:val="20"/>
        </w:rPr>
        <w:t>region</w:t>
      </w:r>
      <w:r>
        <w:rPr>
          <w:rFonts w:ascii="Times New Roman" w:hAnsi="Times New Roman"/>
          <w:b w:val="0"/>
          <w:i w:val="0"/>
          <w:color w:val="000000"/>
          <w:sz w:val="20"/>
        </w:rPr>
        <w:t xml:space="preserve">, </w:t>
      </w:r>
      <w:r>
        <w:rPr>
          <w:rFonts w:ascii="Times New Roman" w:hAnsi="Times New Roman"/>
          <w:b w:val="0"/>
          <w:i/>
          <w:color w:val="000000"/>
          <w:sz w:val="20"/>
        </w:rPr>
        <w:t>highest_education</w:t>
      </w:r>
      <w:r>
        <w:rPr>
          <w:rFonts w:ascii="Times New Roman" w:hAnsi="Times New Roman"/>
          <w:b w:val="0"/>
          <w:i w:val="0"/>
          <w:color w:val="000000"/>
          <w:sz w:val="20"/>
        </w:rPr>
        <w:t xml:space="preserve">, </w:t>
      </w:r>
      <w:r>
        <w:rPr>
          <w:rFonts w:ascii="Times New Roman" w:hAnsi="Times New Roman"/>
          <w:b w:val="0"/>
          <w:i/>
          <w:color w:val="000000"/>
          <w:sz w:val="20"/>
        </w:rPr>
        <w:t>imd_band</w:t>
      </w:r>
      <w:r>
        <w:rPr>
          <w:rFonts w:ascii="Times New Roman" w:hAnsi="Times New Roman"/>
          <w:b w:val="0"/>
          <w:i w:val="0"/>
          <w:color w:val="000000"/>
          <w:sz w:val="20"/>
        </w:rPr>
        <w:t xml:space="preserve">, </w:t>
      </w:r>
      <w:r>
        <w:rPr>
          <w:rFonts w:ascii="Times New Roman" w:hAnsi="Times New Roman"/>
          <w:b w:val="0"/>
          <w:i/>
          <w:color w:val="000000"/>
          <w:sz w:val="20"/>
        </w:rPr>
        <w:t>age_band</w:t>
      </w:r>
      <w:r>
        <w:rPr>
          <w:rFonts w:ascii="Times New Roman" w:hAnsi="Times New Roman"/>
          <w:b w:val="0"/>
          <w:i w:val="0"/>
          <w:color w:val="000000"/>
          <w:sz w:val="20"/>
        </w:rPr>
        <w:t xml:space="preserve">, </w:t>
      </w:r>
      <w:r>
        <w:rPr>
          <w:rFonts w:ascii="Times New Roman" w:hAnsi="Times New Roman"/>
          <w:b w:val="0"/>
          <w:i/>
          <w:color w:val="000000"/>
          <w:sz w:val="20"/>
        </w:rPr>
        <w:t>disability</w:t>
      </w:r>
      <w:r>
        <w:rPr>
          <w:rFonts w:ascii="Times New Roman" w:hAnsi="Times New Roman"/>
          <w:b w:val="0"/>
          <w:i w:val="0"/>
          <w:color w:val="000000"/>
          <w:sz w:val="20"/>
        </w:rPr>
        <w:t xml:space="preserve">, </w:t>
      </w:r>
      <w:r>
        <w:rPr>
          <w:rFonts w:ascii="Times New Roman" w:hAnsi="Times New Roman"/>
          <w:b w:val="0"/>
          <w:i/>
          <w:color w:val="000000"/>
          <w:sz w:val="20"/>
        </w:rPr>
        <w:t>code_module</w:t>
      </w:r>
      <w:r>
        <w:rPr>
          <w:rFonts w:ascii="Times New Roman" w:hAnsi="Times New Roman"/>
          <w:b w:val="0"/>
          <w:i w:val="0"/>
          <w:color w:val="000000"/>
          <w:sz w:val="20"/>
        </w:rPr>
        <w:t xml:space="preserve">, and </w:t>
      </w:r>
      <w:r>
        <w:rPr>
          <w:rFonts w:ascii="Times New Roman" w:hAnsi="Times New Roman"/>
          <w:b w:val="0"/>
          <w:i/>
          <w:color w:val="000000"/>
          <w:sz w:val="20"/>
        </w:rPr>
        <w:t>code_presentation</w:t>
      </w:r>
      <w:r>
        <w:rPr>
          <w:rFonts w:ascii="Times New Roman" w:hAnsi="Times New Roman"/>
          <w:b w:val="0"/>
          <w:i w:val="0"/>
          <w:color w:val="000000"/>
          <w:sz w:val="20"/>
        </w:rPr>
        <w:t xml:space="preserve">. Initial numeric features include </w:t>
      </w:r>
      <w:r>
        <w:rPr>
          <w:rFonts w:ascii="Times New Roman" w:hAnsi="Times New Roman"/>
          <w:b w:val="0"/>
          <w:i/>
          <w:color w:val="000000"/>
          <w:sz w:val="20"/>
        </w:rPr>
        <w:t>num_of_prev_attempts</w:t>
      </w:r>
      <w:r>
        <w:rPr>
          <w:rFonts w:ascii="Times New Roman" w:hAnsi="Times New Roman"/>
          <w:b w:val="0"/>
          <w:i w:val="0"/>
          <w:color w:val="000000"/>
          <w:sz w:val="20"/>
        </w:rPr>
        <w:t xml:space="preserve">, </w:t>
      </w:r>
      <w:r>
        <w:rPr>
          <w:rFonts w:ascii="Times New Roman" w:hAnsi="Times New Roman"/>
          <w:b w:val="0"/>
          <w:i/>
          <w:color w:val="000000"/>
          <w:sz w:val="20"/>
        </w:rPr>
        <w:t>studied_credits</w:t>
      </w:r>
      <w:r>
        <w:rPr>
          <w:rFonts w:ascii="Times New Roman" w:hAnsi="Times New Roman"/>
          <w:b w:val="0"/>
          <w:i w:val="0"/>
          <w:color w:val="000000"/>
          <w:sz w:val="20"/>
        </w:rPr>
        <w:t xml:space="preserve">, and </w:t>
      </w:r>
      <w:r>
        <w:rPr>
          <w:rFonts w:ascii="Times New Roman" w:hAnsi="Times New Roman"/>
          <w:b w:val="0"/>
          <w:i/>
          <w:color w:val="000000"/>
          <w:sz w:val="20"/>
        </w:rPr>
        <w:t>date_registration</w:t>
      </w:r>
      <w:r>
        <w:rPr>
          <w:rFonts w:ascii="Times New Roman" w:hAnsi="Times New Roman"/>
          <w:b w:val="0"/>
          <w:i w:val="0"/>
          <w:color w:val="000000"/>
          <w:sz w:val="20"/>
        </w:rPr>
        <w:t>.</w:t>
      </w:r>
    </w:p>
    <w:p>
      <w:pPr>
        <w:spacing w:before="0" w:after="20" w:line="240" w:lineRule="auto"/>
        <w:ind w:firstLine="259"/>
        <w:jc w:val="both"/>
      </w:pPr>
      <w:r>
        <w:rPr>
          <w:rFonts w:ascii="Times New Roman" w:hAnsi="Times New Roman"/>
          <w:b w:val="0"/>
          <w:i w:val="0"/>
          <w:color w:val="000000"/>
          <w:sz w:val="20"/>
        </w:rPr>
        <w:t xml:space="preserve">The </w:t>
      </w:r>
      <w:r>
        <w:rPr>
          <w:rFonts w:ascii="Times New Roman" w:hAnsi="Times New Roman"/>
          <w:b w:val="0"/>
          <w:i/>
          <w:color w:val="000000"/>
          <w:sz w:val="20"/>
        </w:rPr>
        <w:t>studentAssessment</w:t>
      </w:r>
      <w:r>
        <w:rPr>
          <w:rFonts w:ascii="Times New Roman" w:hAnsi="Times New Roman"/>
          <w:b w:val="0"/>
          <w:i w:val="0"/>
          <w:color w:val="000000"/>
          <w:sz w:val="20"/>
        </w:rPr>
        <w:t xml:space="preserve"> data are joined with </w:t>
      </w:r>
      <w:r>
        <w:rPr>
          <w:rFonts w:ascii="Times New Roman" w:hAnsi="Times New Roman"/>
          <w:b w:val="0"/>
          <w:i/>
          <w:color w:val="000000"/>
          <w:sz w:val="20"/>
        </w:rPr>
        <w:t>assessments</w:t>
      </w:r>
      <w:r>
        <w:rPr>
          <w:rFonts w:ascii="Times New Roman" w:hAnsi="Times New Roman"/>
          <w:b w:val="0"/>
          <w:i w:val="0"/>
          <w:color w:val="000000"/>
          <w:sz w:val="20"/>
        </w:rPr>
        <w:t xml:space="preserve"> through </w:t>
      </w:r>
      <w:r>
        <w:rPr>
          <w:rFonts w:ascii="Times New Roman" w:hAnsi="Times New Roman"/>
          <w:b w:val="0"/>
          <w:i/>
          <w:color w:val="000000"/>
          <w:sz w:val="20"/>
        </w:rPr>
        <w:t>id_assessment</w:t>
      </w:r>
      <w:r>
        <w:rPr>
          <w:rFonts w:ascii="Times New Roman" w:hAnsi="Times New Roman"/>
          <w:b w:val="0"/>
          <w:i w:val="0"/>
          <w:color w:val="000000"/>
          <w:sz w:val="20"/>
        </w:rPr>
        <w:t xml:space="preserve"> to obtain the module-presentation context. Data through day 28 are aggregated into </w:t>
      </w:r>
      <w:r>
        <w:rPr>
          <w:rFonts w:ascii="Times New Roman" w:hAnsi="Times New Roman"/>
          <w:b w:val="0"/>
          <w:i/>
          <w:color w:val="000000"/>
          <w:sz w:val="20"/>
        </w:rPr>
        <w:t>assessment_count</w:t>
      </w:r>
      <w:r>
        <w:rPr>
          <w:rFonts w:ascii="Times New Roman" w:hAnsi="Times New Roman"/>
          <w:b w:val="0"/>
          <w:i w:val="0"/>
          <w:color w:val="000000"/>
          <w:sz w:val="20"/>
        </w:rPr>
        <w:t xml:space="preserve">, </w:t>
      </w:r>
      <w:r>
        <w:rPr>
          <w:rFonts w:ascii="Times New Roman" w:hAnsi="Times New Roman"/>
          <w:b w:val="0"/>
          <w:i/>
          <w:color w:val="000000"/>
          <w:sz w:val="20"/>
        </w:rPr>
        <w:t>assessment_score_mean</w:t>
      </w:r>
      <w:r>
        <w:rPr>
          <w:rFonts w:ascii="Times New Roman" w:hAnsi="Times New Roman"/>
          <w:b w:val="0"/>
          <w:i w:val="0"/>
          <w:color w:val="000000"/>
          <w:sz w:val="20"/>
        </w:rPr>
        <w:t xml:space="preserve">, </w:t>
      </w:r>
      <w:r>
        <w:rPr>
          <w:rFonts w:ascii="Times New Roman" w:hAnsi="Times New Roman"/>
          <w:b w:val="0"/>
          <w:i/>
          <w:color w:val="000000"/>
          <w:sz w:val="20"/>
        </w:rPr>
        <w:t>assessment_score_max</w:t>
      </w:r>
      <w:r>
        <w:rPr>
          <w:rFonts w:ascii="Times New Roman" w:hAnsi="Times New Roman"/>
          <w:b w:val="0"/>
          <w:i w:val="0"/>
          <w:color w:val="000000"/>
          <w:sz w:val="20"/>
        </w:rPr>
        <w:t xml:space="preserve">, and </w:t>
      </w:r>
      <w:r>
        <w:rPr>
          <w:rFonts w:ascii="Times New Roman" w:hAnsi="Times New Roman"/>
          <w:b w:val="0"/>
          <w:i/>
          <w:color w:val="000000"/>
          <w:sz w:val="20"/>
        </w:rPr>
        <w:t>assessment_score_min</w:t>
      </w:r>
      <w:r>
        <w:rPr>
          <w:rFonts w:ascii="Times New Roman" w:hAnsi="Times New Roman"/>
          <w:b w:val="0"/>
          <w:i w:val="0"/>
          <w:color w:val="000000"/>
          <w:sz w:val="20"/>
        </w:rPr>
        <w:t xml:space="preserve">. The </w:t>
      </w:r>
      <w:r>
        <w:rPr>
          <w:rFonts w:ascii="Times New Roman" w:hAnsi="Times New Roman"/>
          <w:b w:val="0"/>
          <w:i/>
          <w:color w:val="000000"/>
          <w:sz w:val="20"/>
        </w:rPr>
        <w:t>studentVle</w:t>
      </w:r>
      <w:r>
        <w:rPr>
          <w:rFonts w:ascii="Times New Roman" w:hAnsi="Times New Roman"/>
          <w:b w:val="0"/>
          <w:i w:val="0"/>
          <w:color w:val="000000"/>
          <w:sz w:val="20"/>
        </w:rPr>
        <w:t xml:space="preserve"> data through day 28 are aggregated into </w:t>
      </w:r>
      <w:r>
        <w:rPr>
          <w:rFonts w:ascii="Times New Roman" w:hAnsi="Times New Roman"/>
          <w:b w:val="0"/>
          <w:i/>
          <w:color w:val="000000"/>
          <w:sz w:val="20"/>
        </w:rPr>
        <w:t>vle_total_clicks</w:t>
      </w:r>
      <w:r>
        <w:rPr>
          <w:rFonts w:ascii="Times New Roman" w:hAnsi="Times New Roman"/>
          <w:b w:val="0"/>
          <w:i w:val="0"/>
          <w:color w:val="000000"/>
          <w:sz w:val="20"/>
        </w:rPr>
        <w:t xml:space="preserve">, </w:t>
      </w:r>
      <w:r>
        <w:rPr>
          <w:rFonts w:ascii="Times New Roman" w:hAnsi="Times New Roman"/>
          <w:b w:val="0"/>
          <w:i/>
          <w:color w:val="000000"/>
          <w:sz w:val="20"/>
        </w:rPr>
        <w:t>vle_active_days</w:t>
      </w:r>
      <w:r>
        <w:rPr>
          <w:rFonts w:ascii="Times New Roman" w:hAnsi="Times New Roman"/>
          <w:b w:val="0"/>
          <w:i w:val="0"/>
          <w:color w:val="000000"/>
          <w:sz w:val="20"/>
        </w:rPr>
        <w:t xml:space="preserve">, </w:t>
      </w:r>
      <w:r>
        <w:rPr>
          <w:rFonts w:ascii="Times New Roman" w:hAnsi="Times New Roman"/>
          <w:b w:val="0"/>
          <w:i/>
          <w:color w:val="000000"/>
          <w:sz w:val="20"/>
        </w:rPr>
        <w:t>vle_site_count</w:t>
      </w:r>
      <w:r>
        <w:rPr>
          <w:rFonts w:ascii="Times New Roman" w:hAnsi="Times New Roman"/>
          <w:b w:val="0"/>
          <w:i w:val="0"/>
          <w:color w:val="000000"/>
          <w:sz w:val="20"/>
        </w:rPr>
        <w:t xml:space="preserve">, and </w:t>
      </w:r>
      <w:r>
        <w:rPr>
          <w:rFonts w:ascii="Times New Roman" w:hAnsi="Times New Roman"/>
          <w:b w:val="0"/>
          <w:i/>
          <w:color w:val="000000"/>
          <w:sz w:val="20"/>
        </w:rPr>
        <w:t>vle_last_activity_day</w:t>
      </w:r>
      <w:r>
        <w:rPr>
          <w:rFonts w:ascii="Times New Roman" w:hAnsi="Times New Roman"/>
          <w:b w:val="0"/>
          <w:i w:val="0"/>
          <w:color w:val="000000"/>
          <w:sz w:val="20"/>
        </w:rPr>
        <w:t>.</w:t>
      </w:r>
    </w:p>
    <w:p>
      <w:pPr>
        <w:spacing w:before="0" w:after="20" w:line="240" w:lineRule="auto"/>
        <w:ind w:firstLine="259"/>
        <w:jc w:val="both"/>
      </w:pPr>
      <w:r>
        <w:rPr>
          <w:rFonts w:ascii="Times New Roman" w:hAnsi="Times New Roman"/>
          <w:b w:val="0"/>
          <w:i w:val="0"/>
          <w:color w:val="000000"/>
          <w:sz w:val="20"/>
        </w:rPr>
        <w:t xml:space="preserve">Numeric values are converted with </w:t>
      </w:r>
      <w:r>
        <w:rPr>
          <w:rFonts w:ascii="Times New Roman" w:hAnsi="Times New Roman"/>
          <w:b w:val="0"/>
          <w:i/>
          <w:color w:val="000000"/>
          <w:sz w:val="20"/>
        </w:rPr>
        <w:t>pd.to_numeric</w:t>
      </w:r>
      <w:r>
        <w:rPr>
          <w:rFonts w:ascii="Times New Roman" w:hAnsi="Times New Roman"/>
          <w:b w:val="0"/>
          <w:i w:val="0"/>
          <w:color w:val="000000"/>
          <w:sz w:val="20"/>
        </w:rPr>
        <w:t>, and values that cannot be converted are treated as missing values. Behavioral aggregates with no recorded activity are filled with zero. Within the modeling pipeline, missing numeric values are imputed with the median and then standardized. Missing categorical values are imputed with the mode and transformed using one-hot encoding. All transformations are learned within the pipeline from the training data.</w:t>
      </w:r>
    </w:p>
    <w:p>
      <w:pPr>
        <w:pStyle w:val="Heading2"/>
        <w:keepNext/>
        <w:spacing w:before="80" w:after="20"/>
        <w:jc w:val="left"/>
      </w:pPr>
      <w:r>
        <w:rPr>
          <w:rFonts w:ascii="Times New Roman" w:hAnsi="Times New Roman"/>
          <w:i/>
          <w:color w:val="000000"/>
          <w:sz w:val="20"/>
        </w:rPr>
        <w:t>E. Data Splitting and Validation</w:t>
      </w:r>
    </w:p>
    <w:p>
      <w:pPr>
        <w:spacing w:before="0" w:after="20" w:line="240" w:lineRule="auto"/>
        <w:ind w:firstLine="259"/>
        <w:jc w:val="both"/>
      </w:pPr>
      <w:r>
        <w:rPr>
          <w:rFonts w:ascii="Times New Roman" w:hAnsi="Times New Roman"/>
          <w:b w:val="0"/>
          <w:i w:val="0"/>
          <w:color w:val="000000"/>
          <w:sz w:val="20"/>
        </w:rPr>
        <w:t xml:space="preserve">The data are divided into 80% train-validation and 20% hold-out test sets using </w:t>
      </w:r>
      <w:r>
        <w:rPr>
          <w:rFonts w:ascii="Times New Roman" w:hAnsi="Times New Roman"/>
          <w:b w:val="0"/>
          <w:i/>
          <w:color w:val="000000"/>
          <w:sz w:val="20"/>
        </w:rPr>
        <w:t>GroupShuffleSplit</w:t>
      </w:r>
      <w:r>
        <w:rPr>
          <w:rFonts w:ascii="Times New Roman" w:hAnsi="Times New Roman"/>
          <w:b w:val="0"/>
          <w:i w:val="0"/>
          <w:color w:val="000000"/>
          <w:sz w:val="20"/>
        </w:rPr>
        <w:t xml:space="preserve">. The </w:t>
      </w:r>
      <w:r>
        <w:rPr>
          <w:rFonts w:ascii="Times New Roman" w:hAnsi="Times New Roman"/>
          <w:b w:val="0"/>
          <w:i/>
          <w:color w:val="000000"/>
          <w:sz w:val="20"/>
        </w:rPr>
        <w:t>id_student</w:t>
      </w:r>
      <w:r>
        <w:rPr>
          <w:rFonts w:ascii="Times New Roman" w:hAnsi="Times New Roman"/>
          <w:b w:val="0"/>
          <w:i w:val="0"/>
          <w:color w:val="000000"/>
          <w:sz w:val="20"/>
        </w:rPr>
        <w:t xml:space="preserve"> variable is used as the group, ensuring that each student occurs exclusively in one partition. The train-validation set contains 26,122 rows and the test set contains 6,471 rows. The verification found zero student overlap.</w:t>
      </w:r>
    </w:p>
    <w:p>
      <w:pPr>
        <w:spacing w:before="0" w:after="20" w:line="240" w:lineRule="auto"/>
        <w:ind w:firstLine="259"/>
        <w:jc w:val="both"/>
      </w:pPr>
      <w:r>
        <w:rPr>
          <w:rFonts w:ascii="Times New Roman" w:hAnsi="Times New Roman"/>
          <w:b w:val="0"/>
          <w:i w:val="0"/>
          <w:color w:val="000000"/>
          <w:sz w:val="20"/>
        </w:rPr>
        <w:t xml:space="preserve">Cross-validation uses 5-fold </w:t>
      </w:r>
      <w:r>
        <w:rPr>
          <w:rFonts w:ascii="Times New Roman" w:hAnsi="Times New Roman"/>
          <w:b w:val="0"/>
          <w:i/>
          <w:color w:val="000000"/>
          <w:sz w:val="20"/>
        </w:rPr>
        <w:t>GroupKFold</w:t>
      </w:r>
      <w:r>
        <w:rPr>
          <w:rFonts w:ascii="Times New Roman" w:hAnsi="Times New Roman"/>
          <w:b w:val="0"/>
          <w:i w:val="0"/>
          <w:color w:val="000000"/>
          <w:sz w:val="20"/>
        </w:rPr>
        <w:t xml:space="preserve"> on the train-validation set. Model selection is based on the mean recall for the </w:t>
      </w:r>
      <w:r>
        <w:rPr>
          <w:rFonts w:ascii="Times New Roman" w:hAnsi="Times New Roman"/>
          <w:b w:val="0"/>
          <w:i/>
          <w:color w:val="000000"/>
          <w:sz w:val="20"/>
        </w:rPr>
        <w:t>AtRisk</w:t>
      </w:r>
      <w:r>
        <w:rPr>
          <w:rFonts w:ascii="Times New Roman" w:hAnsi="Times New Roman"/>
          <w:b w:val="0"/>
          <w:i w:val="0"/>
          <w:color w:val="000000"/>
          <w:sz w:val="20"/>
        </w:rPr>
        <w:t xml:space="preserve"> class, with the </w:t>
      </w:r>
      <w:r>
        <w:rPr>
          <w:rFonts w:ascii="Times New Roman" w:hAnsi="Times New Roman"/>
          <w:b w:val="0"/>
          <w:i/>
          <w:color w:val="000000"/>
          <w:sz w:val="20"/>
        </w:rPr>
        <w:t>AtRisk</w:t>
      </w:r>
      <w:r>
        <w:rPr>
          <w:rFonts w:ascii="Times New Roman" w:hAnsi="Times New Roman"/>
          <w:b w:val="0"/>
          <w:i w:val="0"/>
          <w:color w:val="000000"/>
          <w:sz w:val="20"/>
        </w:rPr>
        <w:t xml:space="preserve"> F1-score used as a tie-breaker. Final performance is then reported on the hold-out test.</w:t>
      </w:r>
    </w:p>
    <w:p>
      <w:pPr>
        <w:pStyle w:val="Heading2"/>
        <w:keepNext/>
        <w:spacing w:before="80" w:after="20"/>
        <w:jc w:val="left"/>
      </w:pPr>
      <w:r>
        <w:rPr>
          <w:rFonts w:ascii="Times New Roman" w:hAnsi="Times New Roman"/>
          <w:i/>
          <w:color w:val="000000"/>
          <w:sz w:val="20"/>
        </w:rPr>
        <w:t>F. Supervised Learning Models</w:t>
      </w:r>
    </w:p>
    <w:p>
      <w:pPr>
        <w:spacing w:before="0" w:after="20" w:line="240" w:lineRule="auto"/>
        <w:ind w:firstLine="259"/>
        <w:jc w:val="both"/>
      </w:pPr>
      <w:r>
        <w:rPr>
          <w:rFonts w:ascii="Times New Roman" w:hAnsi="Times New Roman"/>
          <w:b w:val="0"/>
          <w:i w:val="0"/>
          <w:color w:val="000000"/>
          <w:sz w:val="20"/>
        </w:rPr>
        <w:t xml:space="preserve">Three algorithms are compared. Logistic Regression is used as a linear baseline with </w:t>
      </w:r>
      <w:r>
        <w:rPr>
          <w:rFonts w:ascii="Times New Roman" w:hAnsi="Times New Roman"/>
          <w:b w:val="0"/>
          <w:i/>
          <w:color w:val="000000"/>
          <w:sz w:val="20"/>
        </w:rPr>
        <w:t>class_weight='balanced'</w:t>
      </w:r>
      <w:r>
        <w:rPr>
          <w:rFonts w:ascii="Times New Roman" w:hAnsi="Times New Roman"/>
          <w:b w:val="0"/>
          <w:i w:val="0"/>
          <w:color w:val="000000"/>
          <w:sz w:val="20"/>
        </w:rPr>
        <w:t xml:space="preserve">. Random Forest uses 250 trees and </w:t>
      </w:r>
      <w:r>
        <w:rPr>
          <w:rFonts w:ascii="Times New Roman" w:hAnsi="Times New Roman"/>
          <w:b w:val="0"/>
          <w:i/>
          <w:color w:val="000000"/>
          <w:sz w:val="20"/>
        </w:rPr>
        <w:t>class_weight='balanced'</w:t>
      </w:r>
      <w:r>
        <w:rPr>
          <w:rFonts w:ascii="Times New Roman" w:hAnsi="Times New Roman"/>
          <w:b w:val="0"/>
          <w:i w:val="0"/>
          <w:color w:val="000000"/>
          <w:sz w:val="20"/>
        </w:rPr>
        <w:t xml:space="preserve">. XGBoost uses 200 estimators, a maximum depth of 4, a learning rate of 0.08, a subsample ratio of 0.9, and a colsample ratio of 0.9. The </w:t>
      </w:r>
      <w:r>
        <w:rPr>
          <w:rFonts w:ascii="Times New Roman" w:hAnsi="Times New Roman"/>
          <w:b w:val="0"/>
          <w:i/>
          <w:color w:val="000000"/>
          <w:sz w:val="20"/>
        </w:rPr>
        <w:t>scale_pos_weight</w:t>
      </w:r>
      <w:r>
        <w:rPr>
          <w:rFonts w:ascii="Times New Roman" w:hAnsi="Times New Roman"/>
          <w:b w:val="0"/>
          <w:i w:val="0"/>
          <w:color w:val="000000"/>
          <w:sz w:val="20"/>
        </w:rPr>
        <w:t xml:space="preserve"> value is calculated from the train-validation class distribution.</w:t>
      </w:r>
    </w:p>
    <w:p>
      <w:pPr>
        <w:spacing w:before="0" w:after="20" w:line="240" w:lineRule="auto"/>
        <w:ind w:firstLine="259"/>
        <w:jc w:val="both"/>
      </w:pPr>
      <w:r>
        <w:rPr>
          <w:rFonts w:ascii="Times New Roman" w:hAnsi="Times New Roman"/>
          <w:b w:val="0"/>
          <w:i w:val="0"/>
          <w:color w:val="000000"/>
          <w:sz w:val="20"/>
        </w:rPr>
        <w:t xml:space="preserve">Evaluation metrics include accuracy, precision, recall, and F1-score for the </w:t>
      </w:r>
      <w:r>
        <w:rPr>
          <w:rFonts w:ascii="Times New Roman" w:hAnsi="Times New Roman"/>
          <w:b w:val="0"/>
          <w:i/>
          <w:color w:val="000000"/>
          <w:sz w:val="20"/>
        </w:rPr>
        <w:t>AtRisk</w:t>
      </w:r>
      <w:r>
        <w:rPr>
          <w:rFonts w:ascii="Times New Roman" w:hAnsi="Times New Roman"/>
          <w:b w:val="0"/>
          <w:i w:val="0"/>
          <w:color w:val="000000"/>
          <w:sz w:val="20"/>
        </w:rPr>
        <w:t xml:space="preserve"> class, ROC-AUC, a confusion matrix, and a classification report. </w:t>
      </w:r>
      <w:r>
        <w:rPr>
          <w:rFonts w:ascii="Times New Roman" w:hAnsi="Times New Roman"/>
          <w:b w:val="0"/>
          <w:i/>
          <w:color w:val="000000"/>
          <w:sz w:val="20"/>
        </w:rPr>
        <w:t>AtRisk</w:t>
      </w:r>
      <w:r>
        <w:rPr>
          <w:rFonts w:ascii="Times New Roman" w:hAnsi="Times New Roman"/>
          <w:b w:val="0"/>
          <w:i w:val="0"/>
          <w:color w:val="000000"/>
          <w:sz w:val="20"/>
        </w:rPr>
        <w:t xml:space="preserve"> recall is the primary criterion because the early warning setting prioritizes the coverage of at-risk students who can be directed to verification and intervention processes.</w:t>
      </w:r>
    </w:p>
    <w:p>
      <w:pPr>
        <w:pStyle w:val="Heading2"/>
        <w:keepNext/>
        <w:spacing w:before="80" w:after="20"/>
        <w:jc w:val="left"/>
      </w:pPr>
      <w:r>
        <w:rPr>
          <w:rFonts w:ascii="Times New Roman" w:hAnsi="Times New Roman"/>
          <w:i/>
          <w:color w:val="000000"/>
          <w:sz w:val="20"/>
        </w:rPr>
        <w:t>G. Knowledge-Based Risk Layer</w:t>
      </w:r>
    </w:p>
    <w:p>
      <w:pPr>
        <w:spacing w:before="0" w:after="20" w:line="240" w:lineRule="auto"/>
        <w:ind w:firstLine="259"/>
        <w:jc w:val="both"/>
      </w:pPr>
      <w:r>
        <w:rPr>
          <w:rFonts w:ascii="Times New Roman" w:hAnsi="Times New Roman"/>
          <w:b w:val="0"/>
          <w:i w:val="0"/>
          <w:color w:val="000000"/>
          <w:sz w:val="20"/>
        </w:rPr>
        <w:t xml:space="preserve">The knowledge-based risk layer uses four indicators: </w:t>
      </w:r>
      <w:r>
        <w:rPr>
          <w:rFonts w:ascii="Times New Roman" w:hAnsi="Times New Roman"/>
          <w:b w:val="0"/>
          <w:i/>
          <w:color w:val="000000"/>
          <w:sz w:val="20"/>
        </w:rPr>
        <w:t>assessment_score_mean</w:t>
      </w:r>
      <w:r>
        <w:rPr>
          <w:rFonts w:ascii="Times New Roman" w:hAnsi="Times New Roman"/>
          <w:b w:val="0"/>
          <w:i w:val="0"/>
          <w:color w:val="000000"/>
          <w:sz w:val="20"/>
        </w:rPr>
        <w:t xml:space="preserve">, </w:t>
      </w:r>
      <w:r>
        <w:rPr>
          <w:rFonts w:ascii="Times New Roman" w:hAnsi="Times New Roman"/>
          <w:b w:val="0"/>
          <w:i/>
          <w:color w:val="000000"/>
          <w:sz w:val="20"/>
        </w:rPr>
        <w:t>assessment_count</w:t>
      </w:r>
      <w:r>
        <w:rPr>
          <w:rFonts w:ascii="Times New Roman" w:hAnsi="Times New Roman"/>
          <w:b w:val="0"/>
          <w:i w:val="0"/>
          <w:color w:val="000000"/>
          <w:sz w:val="20"/>
        </w:rPr>
        <w:t xml:space="preserve">, </w:t>
      </w:r>
      <w:r>
        <w:rPr>
          <w:rFonts w:ascii="Times New Roman" w:hAnsi="Times New Roman"/>
          <w:b w:val="0"/>
          <w:i/>
          <w:color w:val="000000"/>
          <w:sz w:val="20"/>
        </w:rPr>
        <w:t>vle_total_clicks</w:t>
      </w:r>
      <w:r>
        <w:rPr>
          <w:rFonts w:ascii="Times New Roman" w:hAnsi="Times New Roman"/>
          <w:b w:val="0"/>
          <w:i w:val="0"/>
          <w:color w:val="000000"/>
          <w:sz w:val="20"/>
        </w:rPr>
        <w:t xml:space="preserve">, and </w:t>
      </w:r>
      <w:r>
        <w:rPr>
          <w:rFonts w:ascii="Times New Roman" w:hAnsi="Times New Roman"/>
          <w:b w:val="0"/>
          <w:i/>
          <w:color w:val="000000"/>
          <w:sz w:val="20"/>
        </w:rPr>
        <w:t>vle_active_days</w:t>
      </w:r>
      <w:r>
        <w:rPr>
          <w:rFonts w:ascii="Times New Roman" w:hAnsi="Times New Roman"/>
          <w:b w:val="0"/>
          <w:i w:val="0"/>
          <w:color w:val="000000"/>
          <w:sz w:val="20"/>
        </w:rPr>
        <w:t>. Thresholds are calculated from the lower quartile of the train-validation data, keeping them independent of the hold-out test. The calculation produces thresholds of 0 for assessment score, 0 for assessment count, 47 for total VLE clicks, and 4 for active VLE days.</w:t>
      </w:r>
    </w:p>
    <w:p>
      <w:pPr>
        <w:spacing w:before="0" w:after="20" w:line="240" w:lineRule="auto"/>
        <w:ind w:firstLine="259"/>
        <w:jc w:val="both"/>
      </w:pPr>
      <w:r>
        <w:rPr>
          <w:rFonts w:ascii="Times New Roman" w:hAnsi="Times New Roman"/>
          <w:b w:val="0"/>
          <w:i w:val="0"/>
          <w:color w:val="000000"/>
          <w:sz w:val="20"/>
        </w:rPr>
        <w:t xml:space="preserve">A risk signal is activated when an indicator is at or below its threshold. </w:t>
      </w:r>
      <w:r>
        <w:rPr>
          <w:rFonts w:ascii="Times New Roman" w:hAnsi="Times New Roman"/>
          <w:b w:val="0"/>
          <w:i/>
          <w:color w:val="000000"/>
          <w:sz w:val="20"/>
        </w:rPr>
        <w:t>High Risk</w:t>
      </w:r>
      <w:r>
        <w:rPr>
          <w:rFonts w:ascii="Times New Roman" w:hAnsi="Times New Roman"/>
          <w:b w:val="0"/>
          <w:i w:val="0"/>
          <w:color w:val="000000"/>
          <w:sz w:val="20"/>
        </w:rPr>
        <w:t xml:space="preserve"> is assigned when the model predicts </w:t>
      </w:r>
      <w:r>
        <w:rPr>
          <w:rFonts w:ascii="Times New Roman" w:hAnsi="Times New Roman"/>
          <w:b w:val="0"/>
          <w:i/>
          <w:color w:val="000000"/>
          <w:sz w:val="20"/>
        </w:rPr>
        <w:t>AtRisk</w:t>
      </w:r>
      <w:r>
        <w:rPr>
          <w:rFonts w:ascii="Times New Roman" w:hAnsi="Times New Roman"/>
          <w:b w:val="0"/>
          <w:i w:val="0"/>
          <w:color w:val="000000"/>
          <w:sz w:val="20"/>
        </w:rPr>
        <w:t xml:space="preserve"> and the student has at least two rule signals. </w:t>
      </w:r>
      <w:r>
        <w:rPr>
          <w:rFonts w:ascii="Times New Roman" w:hAnsi="Times New Roman"/>
          <w:b w:val="0"/>
          <w:i/>
          <w:color w:val="000000"/>
          <w:sz w:val="20"/>
        </w:rPr>
        <w:t>Medium Risk</w:t>
      </w:r>
      <w:r>
        <w:rPr>
          <w:rFonts w:ascii="Times New Roman" w:hAnsi="Times New Roman"/>
          <w:b w:val="0"/>
          <w:i w:val="0"/>
          <w:color w:val="000000"/>
          <w:sz w:val="20"/>
        </w:rPr>
        <w:t xml:space="preserve"> is assigned when the model predicts </w:t>
      </w:r>
      <w:r>
        <w:rPr>
          <w:rFonts w:ascii="Times New Roman" w:hAnsi="Times New Roman"/>
          <w:b w:val="0"/>
          <w:i/>
          <w:color w:val="000000"/>
          <w:sz w:val="20"/>
        </w:rPr>
        <w:t>AtRisk</w:t>
      </w:r>
      <w:r>
        <w:rPr>
          <w:rFonts w:ascii="Times New Roman" w:hAnsi="Times New Roman"/>
          <w:b w:val="0"/>
          <w:i w:val="0"/>
          <w:color w:val="000000"/>
          <w:sz w:val="20"/>
        </w:rPr>
        <w:t xml:space="preserve"> or the student has at least two rule signals. </w:t>
      </w:r>
      <w:r>
        <w:rPr>
          <w:rFonts w:ascii="Times New Roman" w:hAnsi="Times New Roman"/>
          <w:b w:val="0"/>
          <w:i/>
          <w:color w:val="000000"/>
          <w:sz w:val="20"/>
        </w:rPr>
        <w:t>Low Risk</w:t>
      </w:r>
      <w:r>
        <w:rPr>
          <w:rFonts w:ascii="Times New Roman" w:hAnsi="Times New Roman"/>
          <w:b w:val="0"/>
          <w:i w:val="0"/>
          <w:color w:val="000000"/>
          <w:sz w:val="20"/>
        </w:rPr>
        <w:t xml:space="preserve"> is assigned otherwise.</w:t>
      </w:r>
    </w:p>
    <w:p>
      <w:pPr>
        <w:spacing w:before="0" w:after="20" w:line="240" w:lineRule="auto"/>
        <w:ind w:firstLine="259"/>
        <w:jc w:val="both"/>
      </w:pPr>
      <w:r>
        <w:rPr>
          <w:rFonts w:ascii="Times New Roman" w:hAnsi="Times New Roman"/>
          <w:b w:val="0"/>
          <w:i w:val="0"/>
          <w:color w:val="000000"/>
          <w:sz w:val="20"/>
        </w:rPr>
        <w:t xml:space="preserve">Each row produces an </w:t>
      </w:r>
      <w:r>
        <w:rPr>
          <w:rFonts w:ascii="Times New Roman" w:hAnsi="Times New Roman"/>
          <w:b w:val="0"/>
          <w:i/>
          <w:color w:val="000000"/>
          <w:sz w:val="20"/>
        </w:rPr>
        <w:t>AtRisk</w:t>
      </w:r>
      <w:r>
        <w:rPr>
          <w:rFonts w:ascii="Times New Roman" w:hAnsi="Times New Roman"/>
          <w:b w:val="0"/>
          <w:i w:val="0"/>
          <w:color w:val="000000"/>
          <w:sz w:val="20"/>
        </w:rPr>
        <w:t xml:space="preserve"> probability, a signal count, risk reasons, and an intervention recommendation. Low VLE activity leads to access reminders and monitoring. Low or missing assessment participation leads to academic support. A combination of at least three signals leads to counseling or follow-up by an academic advisor.</w:t>
      </w:r>
    </w:p>
    <w:p>
      <w:pPr>
        <w:spacing w:before="0" w:after="20" w:line="240" w:lineRule="auto"/>
        <w:ind w:firstLine="259"/>
        <w:jc w:val="both"/>
      </w:pPr>
      <w:r>
        <w:rPr>
          <w:rFonts w:ascii="Times New Roman" w:hAnsi="Times New Roman"/>
          <w:b w:val="0"/>
          <w:i w:val="0"/>
          <w:color w:val="000000"/>
          <w:sz w:val="20"/>
        </w:rPr>
        <w:t xml:space="preserve">The combined system is evaluated by mapping </w:t>
      </w:r>
      <w:r>
        <w:rPr>
          <w:rFonts w:ascii="Times New Roman" w:hAnsi="Times New Roman"/>
          <w:b w:val="0"/>
          <w:i/>
          <w:color w:val="000000"/>
          <w:sz w:val="20"/>
        </w:rPr>
        <w:t>High Risk</w:t>
      </w:r>
      <w:r>
        <w:rPr>
          <w:rFonts w:ascii="Times New Roman" w:hAnsi="Times New Roman"/>
          <w:b w:val="0"/>
          <w:i w:val="0"/>
          <w:color w:val="000000"/>
          <w:sz w:val="20"/>
        </w:rPr>
        <w:t xml:space="preserve"> and </w:t>
      </w:r>
      <w:r>
        <w:rPr>
          <w:rFonts w:ascii="Times New Roman" w:hAnsi="Times New Roman"/>
          <w:b w:val="0"/>
          <w:i/>
          <w:color w:val="000000"/>
          <w:sz w:val="20"/>
        </w:rPr>
        <w:t>Medium Risk</w:t>
      </w:r>
      <w:r>
        <w:rPr>
          <w:rFonts w:ascii="Times New Roman" w:hAnsi="Times New Roman"/>
          <w:b w:val="0"/>
          <w:i w:val="0"/>
          <w:color w:val="000000"/>
          <w:sz w:val="20"/>
        </w:rPr>
        <w:t xml:space="preserve"> to </w:t>
      </w:r>
      <w:r>
        <w:rPr>
          <w:rFonts w:ascii="Times New Roman" w:hAnsi="Times New Roman"/>
          <w:b w:val="0"/>
          <w:i/>
          <w:color w:val="000000"/>
          <w:sz w:val="20"/>
        </w:rPr>
        <w:t>AtRisk</w:t>
      </w:r>
      <w:r>
        <w:rPr>
          <w:rFonts w:ascii="Times New Roman" w:hAnsi="Times New Roman"/>
          <w:b w:val="0"/>
          <w:i w:val="0"/>
          <w:color w:val="000000"/>
          <w:sz w:val="20"/>
        </w:rPr>
        <w:t xml:space="preserve"> and measuring changes in detection coverage, precision, and verification workload.</w:t>
      </w:r>
    </w:p>
    <w:p>
      <w:pPr>
        <w:pStyle w:val="Heading2"/>
        <w:keepNext/>
        <w:spacing w:before="80" w:after="20"/>
        <w:jc w:val="left"/>
      </w:pPr>
      <w:r>
        <w:rPr>
          <w:rFonts w:ascii="Times New Roman" w:hAnsi="Times New Roman"/>
          <w:i/>
          <w:color w:val="000000"/>
          <w:sz w:val="20"/>
        </w:rPr>
        <w:t>H. Visual Analytics and Business Intelligence</w:t>
      </w:r>
    </w:p>
    <w:p>
      <w:pPr>
        <w:spacing w:before="0" w:after="20" w:line="240" w:lineRule="auto"/>
        <w:ind w:firstLine="259"/>
        <w:jc w:val="both"/>
      </w:pPr>
      <w:r>
        <w:rPr>
          <w:rFonts w:ascii="Times New Roman" w:hAnsi="Times New Roman"/>
          <w:b w:val="0"/>
          <w:i w:val="0"/>
          <w:color w:val="000000"/>
          <w:sz w:val="20"/>
        </w:rPr>
        <w:t>The static dashboard is constructed with Matplotlib and Seaborn. It presents KPIs for unique students, the number and percentage prioritized for intervention, the risk-level distribution, risk by module-presentation, the probability distribution, dominant signals, median VLE and assessment activity, a confusion matrix, and a comparison between the model and the knowledge layer.</w:t>
      </w:r>
    </w:p>
    <w:p>
      <w:pPr>
        <w:spacing w:before="0" w:after="20" w:line="240" w:lineRule="auto"/>
        <w:ind w:firstLine="259"/>
        <w:jc w:val="both"/>
      </w:pPr>
      <w:r>
        <w:rPr>
          <w:rFonts w:ascii="Times New Roman" w:hAnsi="Times New Roman"/>
          <w:b w:val="0"/>
          <w:i w:val="0"/>
          <w:color w:val="000000"/>
          <w:sz w:val="20"/>
        </w:rPr>
        <w:t xml:space="preserve">The priority list is sorted by risk level, </w:t>
      </w:r>
      <w:r>
        <w:rPr>
          <w:rFonts w:ascii="Times New Roman" w:hAnsi="Times New Roman"/>
          <w:b w:val="0"/>
          <w:i/>
          <w:color w:val="000000"/>
          <w:sz w:val="20"/>
        </w:rPr>
        <w:t>AtRisk</w:t>
      </w:r>
      <w:r>
        <w:rPr>
          <w:rFonts w:ascii="Times New Roman" w:hAnsi="Times New Roman"/>
          <w:b w:val="0"/>
          <w:i w:val="0"/>
          <w:color w:val="000000"/>
          <w:sz w:val="20"/>
        </w:rPr>
        <w:t xml:space="preserve"> probability, and signal count. The output supports decisions at several levels. Academic leaders obtain an overview of risk scale, study programs see concentrations of risk across module-presentations, and tutors or academic advisors receive student-level reasons and recommendations. The system serves as decision support for stakeholder follow-up based on analytical evidence and academic judgment.</w:t>
      </w:r>
    </w:p>
    <w:p>
      <w:pPr>
        <w:pStyle w:val="Heading1"/>
        <w:keepNext/>
        <w:spacing w:before="120" w:after="60"/>
        <w:jc w:val="center"/>
      </w:pPr>
      <w:r>
        <w:rPr>
          <w:rFonts w:ascii="Times New Roman" w:hAnsi="Times New Roman"/>
          <w:b w:val="0"/>
          <w:color w:val="000000"/>
          <w:sz w:val="20"/>
        </w:rPr>
        <w:t>IV. RESULTS AND DISCUSSION</w:t>
      </w:r>
    </w:p>
    <w:p>
      <w:pPr>
        <w:pStyle w:val="Heading2"/>
        <w:keepNext/>
        <w:spacing w:before="80" w:after="20"/>
        <w:jc w:val="left"/>
      </w:pPr>
      <w:r>
        <w:rPr>
          <w:rFonts w:ascii="Times New Roman" w:hAnsi="Times New Roman"/>
          <w:i/>
          <w:color w:val="000000"/>
          <w:sz w:val="20"/>
        </w:rPr>
        <w:t>A. Dataset and Validation Results</w:t>
      </w:r>
    </w:p>
    <w:p>
      <w:pPr>
        <w:spacing w:before="0" w:after="20" w:line="240" w:lineRule="auto"/>
        <w:ind w:firstLine="259"/>
        <w:jc w:val="both"/>
      </w:pPr>
      <w:r>
        <w:rPr>
          <w:rFonts w:ascii="Times New Roman" w:hAnsi="Times New Roman"/>
          <w:b w:val="0"/>
          <w:i w:val="0"/>
          <w:color w:val="000000"/>
          <w:sz w:val="20"/>
        </w:rPr>
        <w:t xml:space="preserve">The preprocessed dataset contains 32,593 student-module-presentations from 28,785 unique students. The </w:t>
      </w:r>
      <w:r>
        <w:rPr>
          <w:rFonts w:ascii="Times New Roman" w:hAnsi="Times New Roman"/>
          <w:b w:val="0"/>
          <w:i/>
          <w:color w:val="000000"/>
          <w:sz w:val="20"/>
        </w:rPr>
        <w:t>AtRisk</w:t>
      </w:r>
      <w:r>
        <w:rPr>
          <w:rFonts w:ascii="Times New Roman" w:hAnsi="Times New Roman"/>
          <w:b w:val="0"/>
          <w:i w:val="0"/>
          <w:color w:val="000000"/>
          <w:sz w:val="20"/>
        </w:rPr>
        <w:t xml:space="preserve"> class contains 17,208 rows and the </w:t>
      </w:r>
      <w:r>
        <w:rPr>
          <w:rFonts w:ascii="Times New Roman" w:hAnsi="Times New Roman"/>
          <w:b w:val="0"/>
          <w:i/>
          <w:color w:val="000000"/>
          <w:sz w:val="20"/>
        </w:rPr>
        <w:t>Successful</w:t>
      </w:r>
      <w:r>
        <w:rPr>
          <w:rFonts w:ascii="Times New Roman" w:hAnsi="Times New Roman"/>
          <w:b w:val="0"/>
          <w:i w:val="0"/>
          <w:color w:val="000000"/>
          <w:sz w:val="20"/>
        </w:rPr>
        <w:t xml:space="preserve"> class contains 15,385 rows. The train-validation set contains 26,122 rows, while the hold-out test contains 6,471 rows with 3,398 </w:t>
      </w:r>
      <w:r>
        <w:rPr>
          <w:rFonts w:ascii="Times New Roman" w:hAnsi="Times New Roman"/>
          <w:b w:val="0"/>
          <w:i/>
          <w:color w:val="000000"/>
          <w:sz w:val="20"/>
        </w:rPr>
        <w:t>AtRisk</w:t>
      </w:r>
      <w:r>
        <w:rPr>
          <w:rFonts w:ascii="Times New Roman" w:hAnsi="Times New Roman"/>
          <w:b w:val="0"/>
          <w:i w:val="0"/>
          <w:color w:val="000000"/>
          <w:sz w:val="20"/>
        </w:rPr>
        <w:t xml:space="preserve"> and 3,073 </w:t>
      </w:r>
      <w:r>
        <w:rPr>
          <w:rFonts w:ascii="Times New Roman" w:hAnsi="Times New Roman"/>
          <w:b w:val="0"/>
          <w:i/>
          <w:color w:val="000000"/>
          <w:sz w:val="20"/>
        </w:rPr>
        <w:t>Successful</w:t>
      </w:r>
      <w:r>
        <w:rPr>
          <w:rFonts w:ascii="Times New Roman" w:hAnsi="Times New Roman"/>
          <w:b w:val="0"/>
          <w:i w:val="0"/>
          <w:color w:val="000000"/>
          <w:sz w:val="20"/>
        </w:rPr>
        <w:t xml:space="preserve"> cases. The </w:t>
      </w:r>
      <w:r>
        <w:rPr>
          <w:rFonts w:ascii="Times New Roman" w:hAnsi="Times New Roman"/>
          <w:b w:val="0"/>
          <w:i/>
          <w:color w:val="000000"/>
          <w:sz w:val="20"/>
        </w:rPr>
        <w:t>id_student</w:t>
      </w:r>
      <w:r>
        <w:rPr>
          <w:rFonts w:ascii="Times New Roman" w:hAnsi="Times New Roman"/>
          <w:b w:val="0"/>
          <w:i w:val="0"/>
          <w:color w:val="000000"/>
          <w:sz w:val="20"/>
        </w:rPr>
        <w:t xml:space="preserve">-based split produces zero student overlap. Missing values occur mainly in </w:t>
      </w:r>
      <w:r>
        <w:rPr>
          <w:rFonts w:ascii="Times New Roman" w:hAnsi="Times New Roman"/>
          <w:b w:val="0"/>
          <w:i/>
          <w:color w:val="000000"/>
          <w:sz w:val="20"/>
        </w:rPr>
        <w:t>imd_band</w:t>
      </w:r>
      <w:r>
        <w:rPr>
          <w:rFonts w:ascii="Times New Roman" w:hAnsi="Times New Roman"/>
          <w:b w:val="0"/>
          <w:i w:val="0"/>
          <w:color w:val="000000"/>
          <w:sz w:val="20"/>
        </w:rPr>
        <w:t xml:space="preserve"> and in a small proportion of </w:t>
      </w:r>
      <w:r>
        <w:rPr>
          <w:rFonts w:ascii="Times New Roman" w:hAnsi="Times New Roman"/>
          <w:b w:val="0"/>
          <w:i/>
          <w:color w:val="000000"/>
          <w:sz w:val="20"/>
        </w:rPr>
        <w:t>date_registration</w:t>
      </w:r>
      <w:r>
        <w:rPr>
          <w:rFonts w:ascii="Times New Roman" w:hAnsi="Times New Roman"/>
          <w:b w:val="0"/>
          <w:i w:val="0"/>
          <w:color w:val="000000"/>
          <w:sz w:val="20"/>
        </w:rPr>
        <w:t>; both are handled within the pipeline using the training data in each fold.</w:t>
      </w:r>
    </w:p>
    <w:p>
      <w:pPr>
        <w:pStyle w:val="Heading2"/>
        <w:keepNext/>
        <w:spacing w:before="80" w:after="20"/>
        <w:jc w:val="left"/>
      </w:pPr>
      <w:r>
        <w:rPr>
          <w:rFonts w:ascii="Times New Roman" w:hAnsi="Times New Roman"/>
          <w:i/>
          <w:color w:val="000000"/>
          <w:sz w:val="20"/>
        </w:rPr>
        <w:t>B. Cross-Validation Performance</w:t>
      </w:r>
    </w:p>
    <w:p>
      <w:pPr>
        <w:spacing w:before="0" w:after="20" w:line="240" w:lineRule="auto"/>
        <w:ind w:firstLine="259"/>
        <w:jc w:val="both"/>
      </w:pPr>
      <w:r>
        <w:rPr>
          <w:rFonts w:ascii="Times New Roman" w:hAnsi="Times New Roman"/>
          <w:b w:val="0"/>
          <w:i w:val="0"/>
          <w:color w:val="000000"/>
          <w:sz w:val="20"/>
        </w:rPr>
        <w:t xml:space="preserve">Table I presents the 5-fold GroupKFold results. Random Forest achieves the highest mean </w:t>
      </w:r>
      <w:r>
        <w:rPr>
          <w:rFonts w:ascii="Times New Roman" w:hAnsi="Times New Roman"/>
          <w:b w:val="0"/>
          <w:i/>
          <w:color w:val="000000"/>
          <w:sz w:val="20"/>
        </w:rPr>
        <w:t>AtRisk</w:t>
      </w:r>
      <w:r>
        <w:rPr>
          <w:rFonts w:ascii="Times New Roman" w:hAnsi="Times New Roman"/>
          <w:b w:val="0"/>
          <w:i w:val="0"/>
          <w:color w:val="000000"/>
          <w:sz w:val="20"/>
        </w:rPr>
        <w:t xml:space="preserve"> recall at 0.7107 and is selected as the final model according to the selection criterion. XGBoost achieves the highest accuracy, F1-score, and ROC-AUC at 0.7584, 0.7522, and 0.8440, respectively.</w:t>
      </w:r>
    </w:p>
    <w:p>
      <w:pPr>
        <w:keepNext/>
        <w:spacing w:before="80" w:after="40"/>
        <w:jc w:val="center"/>
      </w:pPr>
      <w:r>
        <w:rPr>
          <w:rFonts w:ascii="Times New Roman" w:hAnsi="Times New Roman"/>
          <w:color w:val="000000"/>
          <w:sz w:val="16"/>
        </w:rPr>
        <w:t>TABLE I</w:t>
        <w:br/>
      </w:r>
      <w:r>
        <w:rPr>
          <w:rFonts w:ascii="Times New Roman" w:hAnsi="Times New Roman"/>
          <w:color w:val="000000"/>
          <w:sz w:val="16"/>
        </w:rPr>
        <w:t>5-FOLD GROUPKFOLD RESULTS ON THE TRAIN-VALIDATION SET</w:t>
      </w:r>
    </w:p>
    <w:tbl>
      <w:tblPr>
        <w:tblStyle w:val="TableGrid"/>
        <w:tblW w:type="dxa" w:w="4800"/>
        <w:jc w:val="center"/>
        <w:tblLayout w:type="fixed"/>
        <w:tblLook w:firstColumn="1" w:firstRow="1" w:lastColumn="0" w:lastRow="0" w:noHBand="0" w:noVBand="1" w:val="04A0"/>
      </w:tblPr>
      <w:tblGrid>
        <w:gridCol w:w="1100"/>
        <w:gridCol w:w="1233"/>
        <w:gridCol w:w="1233"/>
        <w:gridCol w:w="1234"/>
      </w:tblGrid>
      <w:tr>
        <w:trPr>
          <w:tblHeader/>
        </w:trPr>
        <w:tc>
          <w:tcPr>
            <w:tcW w:type="dxa" w:w="11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Metric</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Logistic Regression</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234"/>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XGBoost</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0.7496 ± 0.0039</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0.7524 ± 0.0013</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0.7584 ± 0.0024</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Precision</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0.8090 ± 0.0059</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0.7989 ± 0.0136</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0.8215 ± 0.0096</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Recall</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0.6889 ± 0.0064</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0.7107 ± 0.0085</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0.6938 ± 0.0029</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F1</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0.7442 ± 0.0059</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0.7521 ± 0.0030</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0.7522 ± 0.0039</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ROC-AUC</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0.8330 ± 0.0027</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0.8362 ± 0.0023</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0.8440 ± 0.0019</w:t>
            </w:r>
          </w:p>
        </w:tc>
      </w:tr>
    </w:tbl>
    <w:p>
      <w:pPr>
        <w:spacing w:before="0" w:after="140" w:line="240" w:lineRule="auto"/>
      </w:pPr>
    </w:p>
    <w:p>
      <w:pPr>
        <w:pStyle w:val="Heading2"/>
        <w:keepNext/>
        <w:spacing w:before="80" w:after="20"/>
        <w:jc w:val="left"/>
      </w:pPr>
      <w:r>
        <w:rPr>
          <w:rFonts w:ascii="Times New Roman" w:hAnsi="Times New Roman"/>
          <w:i/>
          <w:color w:val="000000"/>
          <w:sz w:val="20"/>
        </w:rPr>
        <w:t>C. Hold-Out Test Performance</w:t>
      </w:r>
    </w:p>
    <w:p>
      <w:pPr>
        <w:spacing w:before="0" w:after="20" w:line="240" w:lineRule="auto"/>
        <w:ind w:firstLine="259"/>
        <w:jc w:val="both"/>
      </w:pPr>
      <w:r>
        <w:rPr>
          <w:rFonts w:ascii="Times New Roman" w:hAnsi="Times New Roman"/>
          <w:b w:val="0"/>
          <w:i w:val="0"/>
          <w:color w:val="000000"/>
          <w:sz w:val="20"/>
        </w:rPr>
        <w:t xml:space="preserve">On the hold-out test, Random Forest achieves an accuracy of 0.7594, </w:t>
      </w:r>
      <w:r>
        <w:rPr>
          <w:rFonts w:ascii="Times New Roman" w:hAnsi="Times New Roman"/>
          <w:b w:val="0"/>
          <w:i/>
          <w:color w:val="000000"/>
          <w:sz w:val="20"/>
        </w:rPr>
        <w:t>AtRisk</w:t>
      </w:r>
      <w:r>
        <w:rPr>
          <w:rFonts w:ascii="Times New Roman" w:hAnsi="Times New Roman"/>
          <w:b w:val="0"/>
          <w:i w:val="0"/>
          <w:color w:val="000000"/>
          <w:sz w:val="20"/>
        </w:rPr>
        <w:t xml:space="preserve"> precision of 0.8007, recall of 0.7213, F1-score of 0.7589, and ROC-AUC of 0.8396. XGBoost achieves the highest accuracy and ROC-AUC, while Random Forest maintains the highest </w:t>
      </w:r>
      <w:r>
        <w:rPr>
          <w:rFonts w:ascii="Times New Roman" w:hAnsi="Times New Roman"/>
          <w:b w:val="0"/>
          <w:i/>
          <w:color w:val="000000"/>
          <w:sz w:val="20"/>
        </w:rPr>
        <w:t>AtRisk</w:t>
      </w:r>
      <w:r>
        <w:rPr>
          <w:rFonts w:ascii="Times New Roman" w:hAnsi="Times New Roman"/>
          <w:b w:val="0"/>
          <w:i w:val="0"/>
          <w:color w:val="000000"/>
          <w:sz w:val="20"/>
        </w:rPr>
        <w:t xml:space="preserve"> recall. Of the 3,398 </w:t>
      </w:r>
      <w:r>
        <w:rPr>
          <w:rFonts w:ascii="Times New Roman" w:hAnsi="Times New Roman"/>
          <w:b w:val="0"/>
          <w:i/>
          <w:color w:val="000000"/>
          <w:sz w:val="20"/>
        </w:rPr>
        <w:t>AtRisk</w:t>
      </w:r>
      <w:r>
        <w:rPr>
          <w:rFonts w:ascii="Times New Roman" w:hAnsi="Times New Roman"/>
          <w:b w:val="0"/>
          <w:i w:val="0"/>
          <w:color w:val="000000"/>
          <w:sz w:val="20"/>
        </w:rPr>
        <w:t xml:space="preserve"> cases, Random Forest identifies 2,451 and misses 947.</w:t>
      </w:r>
    </w:p>
    <w:p>
      <w:pPr>
        <w:keepNext/>
        <w:spacing w:before="80" w:after="40"/>
        <w:jc w:val="center"/>
      </w:pPr>
      <w:r>
        <w:rPr>
          <w:rFonts w:ascii="Times New Roman" w:hAnsi="Times New Roman"/>
          <w:color w:val="000000"/>
          <w:sz w:val="16"/>
        </w:rPr>
        <w:t>TABLE II</w:t>
        <w:br/>
      </w:r>
      <w:r>
        <w:rPr>
          <w:rFonts w:ascii="Times New Roman" w:hAnsi="Times New Roman"/>
          <w:color w:val="000000"/>
          <w:sz w:val="16"/>
        </w:rPr>
        <w:t>MODEL PERFORMANCE ON THE HOLD-OUT TEST</w:t>
      </w:r>
    </w:p>
    <w:tbl>
      <w:tblPr>
        <w:tblStyle w:val="TableGrid"/>
        <w:tblW w:type="dxa" w:w="4800"/>
        <w:jc w:val="center"/>
        <w:tblLayout w:type="fixed"/>
        <w:tblLook w:firstColumn="1" w:firstRow="1" w:lastColumn="0" w:lastRow="0" w:noHBand="0" w:noVBand="1" w:val="04A0"/>
      </w:tblPr>
      <w:tblGrid>
        <w:gridCol w:w="1100"/>
        <w:gridCol w:w="1233"/>
        <w:gridCol w:w="1233"/>
        <w:gridCol w:w="1234"/>
      </w:tblGrid>
      <w:tr>
        <w:trPr>
          <w:tblHeader/>
        </w:trPr>
        <w:tc>
          <w:tcPr>
            <w:tcW w:type="dxa" w:w="11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Metric</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Logistic Regression</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234"/>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XGBoost</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0.7487</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0.7594</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0.7611</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Precision</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0.8034</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0.8007</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0.8154</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Recall</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0.6904</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0.7213</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0.7045</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F1</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0.7426</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0.7589</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0.7559</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ROC-AUC</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0.8311</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0.8396</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0.8443</w:t>
            </w:r>
          </w:p>
        </w:tc>
      </w:tr>
    </w:tbl>
    <w:p>
      <w:pPr>
        <w:spacing w:before="0" w:after="140" w:line="240" w:lineRule="auto"/>
      </w:pPr>
    </w:p>
    <w:p>
      <w:pPr>
        <w:spacing w:before="0" w:after="20" w:line="240" w:lineRule="auto"/>
        <w:ind w:firstLine="259"/>
        <w:jc w:val="both"/>
      </w:pPr>
      <w:r>
        <w:rPr>
          <w:rFonts w:ascii="Times New Roman" w:hAnsi="Times New Roman"/>
          <w:b w:val="0"/>
          <w:i w:val="0"/>
          <w:color w:val="000000"/>
          <w:sz w:val="20"/>
        </w:rPr>
        <w:t xml:space="preserve">Fig. 1 compares the metrics of the three models, Fig. 2 shows the Random Forest confusion matrix, and Fig. 3 presents the ROC curves. The three ROC curves are close. Random Forest is selected because the early warning objective prioritizes </w:t>
      </w:r>
      <w:r>
        <w:rPr>
          <w:rFonts w:ascii="Times New Roman" w:hAnsi="Times New Roman"/>
          <w:b w:val="0"/>
          <w:i/>
          <w:color w:val="000000"/>
          <w:sz w:val="20"/>
        </w:rPr>
        <w:t>AtRisk</w:t>
      </w:r>
      <w:r>
        <w:rPr>
          <w:rFonts w:ascii="Times New Roman" w:hAnsi="Times New Roman"/>
          <w:b w:val="0"/>
          <w:i w:val="0"/>
          <w:color w:val="000000"/>
          <w:sz w:val="20"/>
        </w:rPr>
        <w:t xml:space="preserve"> detection coverage.</w:t>
      </w:r>
    </w:p>
    <w:p>
      <w:pPr>
        <w:keepNext/>
        <w:spacing w:before="80" w:after="20"/>
        <w:jc w:val="center"/>
      </w:pPr>
      <w:r>
        <w:drawing>
          <wp:inline xmlns:a="http://schemas.openxmlformats.org/drawingml/2006/main" xmlns:pic="http://schemas.openxmlformats.org/drawingml/2006/picture">
            <wp:extent cx="2971800" cy="2176023"/>
            <wp:docPr id="1" name="Picture 1" descr="Fig. 1. Model metric comparison on the hold-out test." title="Fig"/>
            <wp:cNvGraphicFramePr>
              <a:graphicFrameLocks noChangeAspect="1"/>
            </wp:cNvGraphicFramePr>
            <a:graphic>
              <a:graphicData uri="http://schemas.openxmlformats.org/drawingml/2006/picture">
                <pic:pic>
                  <pic:nvPicPr>
                    <pic:cNvPr id="0" name="fig-2a-metrics-comparison.png"/>
                    <pic:cNvPicPr/>
                  </pic:nvPicPr>
                  <pic:blipFill>
                    <a:blip r:embed="rId9"/>
                    <a:stretch>
                      <a:fillRect/>
                    </a:stretch>
                  </pic:blipFill>
                  <pic:spPr>
                    <a:xfrm>
                      <a:off x="0" y="0"/>
                      <a:ext cx="2971800" cy="2176023"/>
                    </a:xfrm>
                    <a:prstGeom prst="rect"/>
                  </pic:spPr>
                </pic:pic>
              </a:graphicData>
            </a:graphic>
          </wp:inline>
        </w:drawing>
      </w:r>
    </w:p>
    <w:p>
      <w:pPr>
        <w:keepLines/>
        <w:spacing w:before="20" w:after="80"/>
        <w:jc w:val="center"/>
      </w:pPr>
      <w:r>
        <w:rPr>
          <w:rFonts w:ascii="Times New Roman" w:hAnsi="Times New Roman"/>
          <w:b w:val="0"/>
          <w:i w:val="0"/>
          <w:color w:val="000000"/>
          <w:sz w:val="16"/>
        </w:rPr>
        <w:t>Fig. 1. Model metric comparison on the hold-out test.</w:t>
      </w:r>
    </w:p>
    <w:p>
      <w:pPr>
        <w:keepNext/>
        <w:spacing w:before="80" w:after="20"/>
        <w:jc w:val="center"/>
      </w:pPr>
      <w:r>
        <w:drawing>
          <wp:inline xmlns:a="http://schemas.openxmlformats.org/drawingml/2006/main" xmlns:pic="http://schemas.openxmlformats.org/drawingml/2006/picture">
            <wp:extent cx="2971800" cy="2286727"/>
            <wp:docPr id="2" name="Picture 2" descr="Fig. 2. Random Forest confusion matrix on the hold-out test." title="Fig"/>
            <wp:cNvGraphicFramePr>
              <a:graphicFrameLocks noChangeAspect="1"/>
            </wp:cNvGraphicFramePr>
            <a:graphic>
              <a:graphicData uri="http://schemas.openxmlformats.org/drawingml/2006/picture">
                <pic:pic>
                  <pic:nvPicPr>
                    <pic:cNvPr id="0" name="fig-2b-confusion-matrix.png"/>
                    <pic:cNvPicPr/>
                  </pic:nvPicPr>
                  <pic:blipFill>
                    <a:blip r:embed="rId10"/>
                    <a:stretch>
                      <a:fillRect/>
                    </a:stretch>
                  </pic:blipFill>
                  <pic:spPr>
                    <a:xfrm>
                      <a:off x="0" y="0"/>
                      <a:ext cx="2971800" cy="2286727"/>
                    </a:xfrm>
                    <a:prstGeom prst="rect"/>
                  </pic:spPr>
                </pic:pic>
              </a:graphicData>
            </a:graphic>
          </wp:inline>
        </w:drawing>
      </w:r>
    </w:p>
    <w:p>
      <w:pPr>
        <w:keepLines/>
        <w:spacing w:before="20" w:after="80"/>
        <w:jc w:val="center"/>
      </w:pPr>
      <w:r>
        <w:rPr>
          <w:rFonts w:ascii="Times New Roman" w:hAnsi="Times New Roman"/>
          <w:b w:val="0"/>
          <w:i w:val="0"/>
          <w:color w:val="000000"/>
          <w:sz w:val="16"/>
        </w:rPr>
        <w:t>Fig. 2. Random Forest confusion matrix on the hold-out test.</w:t>
      </w:r>
    </w:p>
    <w:p>
      <w:pPr>
        <w:keepNext/>
        <w:spacing w:before="80" w:after="20"/>
        <w:jc w:val="center"/>
      </w:pPr>
      <w:r>
        <w:drawing>
          <wp:inline xmlns:a="http://schemas.openxmlformats.org/drawingml/2006/main" xmlns:pic="http://schemas.openxmlformats.org/drawingml/2006/picture">
            <wp:extent cx="2971800" cy="2102853"/>
            <wp:docPr id="3" name="Picture 3" descr="Fig. 3. Model ROC curves on the hold-out test." title="Fig"/>
            <wp:cNvGraphicFramePr>
              <a:graphicFrameLocks noChangeAspect="1"/>
            </wp:cNvGraphicFramePr>
            <a:graphic>
              <a:graphicData uri="http://schemas.openxmlformats.org/drawingml/2006/picture">
                <pic:pic>
                  <pic:nvPicPr>
                    <pic:cNvPr id="0" name="fig-2c-roc-curve.png"/>
                    <pic:cNvPicPr/>
                  </pic:nvPicPr>
                  <pic:blipFill>
                    <a:blip r:embed="rId11"/>
                    <a:stretch>
                      <a:fillRect/>
                    </a:stretch>
                  </pic:blipFill>
                  <pic:spPr>
                    <a:xfrm>
                      <a:off x="0" y="0"/>
                      <a:ext cx="2971800" cy="2102853"/>
                    </a:xfrm>
                    <a:prstGeom prst="rect"/>
                  </pic:spPr>
                </pic:pic>
              </a:graphicData>
            </a:graphic>
          </wp:inline>
        </w:drawing>
      </w:r>
    </w:p>
    <w:p>
      <w:pPr>
        <w:keepLines/>
        <w:spacing w:before="20" w:after="80"/>
        <w:jc w:val="center"/>
      </w:pPr>
      <w:r>
        <w:rPr>
          <w:rFonts w:ascii="Times New Roman" w:hAnsi="Times New Roman"/>
          <w:b w:val="0"/>
          <w:i w:val="0"/>
          <w:color w:val="000000"/>
          <w:sz w:val="16"/>
        </w:rPr>
        <w:t>Fig. 3. Model ROC curves on the hold-out test.</w:t>
      </w:r>
    </w:p>
    <w:p>
      <w:pPr>
        <w:pStyle w:val="Heading2"/>
        <w:keepNext/>
        <w:spacing w:before="80" w:after="20"/>
        <w:jc w:val="left"/>
      </w:pPr>
      <w:r>
        <w:rPr>
          <w:rFonts w:ascii="Times New Roman" w:hAnsi="Times New Roman"/>
          <w:i/>
          <w:color w:val="000000"/>
          <w:sz w:val="20"/>
        </w:rPr>
        <w:t>D. Feature Importance</w:t>
      </w:r>
    </w:p>
    <w:p>
      <w:pPr>
        <w:spacing w:before="0" w:after="20" w:line="240" w:lineRule="auto"/>
        <w:ind w:firstLine="259"/>
        <w:jc w:val="both"/>
      </w:pPr>
      <w:r>
        <w:rPr>
          <w:rFonts w:ascii="Times New Roman" w:hAnsi="Times New Roman"/>
          <w:b w:val="0"/>
          <w:i w:val="0"/>
          <w:color w:val="000000"/>
          <w:sz w:val="20"/>
        </w:rPr>
        <w:t>Early behavioral signals dominate the Random Forest feature contributions. Total VLE clicks, last activity day, active days, and the number of accessed sites appear as the leading predictors, followed by assessment and registration features. Importance values indicate global predictive contributions; causal interpretation requires a causal research design.</w:t>
      </w:r>
    </w:p>
    <w:p>
      <w:pPr>
        <w:keepNext/>
        <w:spacing w:before="80" w:after="20"/>
        <w:jc w:val="center"/>
      </w:pPr>
      <w:r>
        <w:drawing>
          <wp:inline xmlns:a="http://schemas.openxmlformats.org/drawingml/2006/main" xmlns:pic="http://schemas.openxmlformats.org/drawingml/2006/picture">
            <wp:extent cx="2971800" cy="1763751"/>
            <wp:docPr id="4" name="Picture 4" descr="Fig. 4. Fifteen features with the highest Random Forest feature importance." title="Fig"/>
            <wp:cNvGraphicFramePr>
              <a:graphicFrameLocks noChangeAspect="1"/>
            </wp:cNvGraphicFramePr>
            <a:graphic>
              <a:graphicData uri="http://schemas.openxmlformats.org/drawingml/2006/picture">
                <pic:pic>
                  <pic:nvPicPr>
                    <pic:cNvPr id="0" name="fig-3-feature-importance.png"/>
                    <pic:cNvPicPr/>
                  </pic:nvPicPr>
                  <pic:blipFill>
                    <a:blip r:embed="rId12"/>
                    <a:stretch>
                      <a:fillRect/>
                    </a:stretch>
                  </pic:blipFill>
                  <pic:spPr>
                    <a:xfrm>
                      <a:off x="0" y="0"/>
                      <a:ext cx="2971800" cy="1763751"/>
                    </a:xfrm>
                    <a:prstGeom prst="rect"/>
                  </pic:spPr>
                </pic:pic>
              </a:graphicData>
            </a:graphic>
          </wp:inline>
        </w:drawing>
      </w:r>
    </w:p>
    <w:p>
      <w:pPr>
        <w:keepLines/>
        <w:spacing w:before="20" w:after="80"/>
        <w:jc w:val="center"/>
      </w:pPr>
      <w:r>
        <w:rPr>
          <w:rFonts w:ascii="Times New Roman" w:hAnsi="Times New Roman"/>
          <w:b w:val="0"/>
          <w:i w:val="0"/>
          <w:color w:val="000000"/>
          <w:sz w:val="16"/>
        </w:rPr>
        <w:t>Fig. 4. Fifteen features with the highest Random Forest feature importance.</w:t>
      </w:r>
    </w:p>
    <w:p>
      <w:pPr>
        <w:pStyle w:val="Heading2"/>
        <w:keepNext/>
        <w:spacing w:before="80" w:after="20"/>
        <w:jc w:val="left"/>
      </w:pPr>
      <w:r>
        <w:rPr>
          <w:rFonts w:ascii="Times New Roman" w:hAnsi="Times New Roman"/>
          <w:i/>
          <w:color w:val="000000"/>
          <w:sz w:val="20"/>
        </w:rPr>
        <w:t>E. Benchmark with OULAD Studies</w:t>
      </w:r>
    </w:p>
    <w:p>
      <w:pPr>
        <w:spacing w:before="0" w:after="20" w:line="240" w:lineRule="auto"/>
        <w:ind w:firstLine="259"/>
        <w:jc w:val="both"/>
      </w:pPr>
      <w:r>
        <w:rPr>
          <w:rFonts w:ascii="Times New Roman" w:hAnsi="Times New Roman"/>
          <w:b w:val="0"/>
          <w:i w:val="0"/>
          <w:color w:val="000000"/>
          <w:sz w:val="20"/>
        </w:rPr>
        <w:t xml:space="preserve">Fig. 5 positions the results in the context of five OULAD studies. Shou et al. used the same binary target at 20% of course duration [5]. Jawad et al. used data through day 260 and SMOTE [6], Balabied and Eid used Random Forest [7], and Ujkani et al. [8] and Alnasyan et al. [9] combined </w:t>
      </w:r>
      <w:r>
        <w:rPr>
          <w:rFonts w:ascii="Times New Roman" w:hAnsi="Times New Roman"/>
          <w:b w:val="0"/>
          <w:i/>
          <w:color w:val="000000"/>
          <w:sz w:val="20"/>
        </w:rPr>
        <w:t>Fail</w:t>
      </w:r>
      <w:r>
        <w:rPr>
          <w:rFonts w:ascii="Times New Roman" w:hAnsi="Times New Roman"/>
          <w:b w:val="0"/>
          <w:i w:val="0"/>
          <w:color w:val="000000"/>
          <w:sz w:val="20"/>
        </w:rPr>
        <w:t xml:space="preserve"> and </w:t>
      </w:r>
      <w:r>
        <w:rPr>
          <w:rFonts w:ascii="Times New Roman" w:hAnsi="Times New Roman"/>
          <w:b w:val="0"/>
          <w:i/>
          <w:color w:val="000000"/>
          <w:sz w:val="20"/>
        </w:rPr>
        <w:t>Withdrawn</w:t>
      </w:r>
      <w:r>
        <w:rPr>
          <w:rFonts w:ascii="Times New Roman" w:hAnsi="Times New Roman"/>
          <w:b w:val="0"/>
          <w:i w:val="0"/>
          <w:color w:val="000000"/>
          <w:sz w:val="20"/>
        </w:rPr>
        <w:t xml:space="preserve"> as the at-risk group. The figure presents the reported values as a contextual benchmark because the studies differ in horizon, data split, balancing, and model.</w:t>
      </w:r>
    </w:p>
    <w:p>
      <w:pPr>
        <w:keepNext/>
        <w:spacing w:before="80" w:after="20"/>
        <w:jc w:val="center"/>
      </w:pPr>
      <w:r>
        <w:drawing>
          <wp:inline xmlns:a="http://schemas.openxmlformats.org/drawingml/2006/main" xmlns:pic="http://schemas.openxmlformats.org/drawingml/2006/picture">
            <wp:extent cx="2971800" cy="2203784"/>
            <wp:docPr id="5" name="Picture 5" descr="Fig. 5. Accuracy and F1-score benchmark for OULAD-based studies. The comparison is contextual because the studies use different horizons, data splits, balancing methods, and models." title="Fig"/>
            <wp:cNvGraphicFramePr>
              <a:graphicFrameLocks noChangeAspect="1"/>
            </wp:cNvGraphicFramePr>
            <a:graphic>
              <a:graphicData uri="http://schemas.openxmlformats.org/drawingml/2006/picture">
                <pic:pic>
                  <pic:nvPicPr>
                    <pic:cNvPr id="0" name="fig-5-oulad-benchmark.png"/>
                    <pic:cNvPicPr/>
                  </pic:nvPicPr>
                  <pic:blipFill>
                    <a:blip r:embed="rId13"/>
                    <a:stretch>
                      <a:fillRect/>
                    </a:stretch>
                  </pic:blipFill>
                  <pic:spPr>
                    <a:xfrm>
                      <a:off x="0" y="0"/>
                      <a:ext cx="2971800" cy="2203784"/>
                    </a:xfrm>
                    <a:prstGeom prst="rect"/>
                  </pic:spPr>
                </pic:pic>
              </a:graphicData>
            </a:graphic>
          </wp:inline>
        </w:drawing>
      </w:r>
    </w:p>
    <w:p>
      <w:pPr>
        <w:keepLines/>
        <w:spacing w:before="20" w:after="80"/>
        <w:jc w:val="center"/>
      </w:pPr>
      <w:r>
        <w:rPr>
          <w:rFonts w:ascii="Times New Roman" w:hAnsi="Times New Roman"/>
          <w:b w:val="0"/>
          <w:i w:val="0"/>
          <w:color w:val="000000"/>
          <w:sz w:val="16"/>
        </w:rPr>
        <w:t>Fig. 5. Accuracy and F1-score benchmark for OULAD-based studies. The comparison is contextual because the studies use different horizons, data splits, balancing methods, and models.</w:t>
      </w:r>
    </w:p>
    <w:p>
      <w:pPr>
        <w:pStyle w:val="Heading2"/>
        <w:keepNext/>
        <w:spacing w:before="80" w:after="20"/>
        <w:jc w:val="left"/>
      </w:pPr>
      <w:r>
        <w:rPr>
          <w:rFonts w:ascii="Times New Roman" w:hAnsi="Times New Roman"/>
          <w:i/>
          <w:color w:val="000000"/>
          <w:sz w:val="20"/>
        </w:rPr>
        <w:t>F. Knowledge-Based Risk Layer and BI Output</w:t>
      </w:r>
    </w:p>
    <w:p>
      <w:pPr>
        <w:spacing w:before="0" w:after="20" w:line="240" w:lineRule="auto"/>
        <w:ind w:firstLine="259"/>
        <w:jc w:val="both"/>
      </w:pPr>
      <w:r>
        <w:rPr>
          <w:rFonts w:ascii="Times New Roman" w:hAnsi="Times New Roman"/>
          <w:b w:val="0"/>
          <w:i w:val="0"/>
          <w:color w:val="000000"/>
          <w:sz w:val="20"/>
        </w:rPr>
        <w:t xml:space="preserve">The lower-quartile thresholds from the train-validation set are an assessment score of 0, an assessment count of 0, 47 total VLE clicks, and 4 active VLE days. The knowledge layer produces 1,816 </w:t>
      </w:r>
      <w:r>
        <w:rPr>
          <w:rFonts w:ascii="Times New Roman" w:hAnsi="Times New Roman"/>
          <w:b w:val="0"/>
          <w:i/>
          <w:color w:val="000000"/>
          <w:sz w:val="20"/>
        </w:rPr>
        <w:t>High Risk</w:t>
      </w:r>
      <w:r>
        <w:rPr>
          <w:rFonts w:ascii="Times New Roman" w:hAnsi="Times New Roman"/>
          <w:b w:val="0"/>
          <w:i w:val="0"/>
          <w:color w:val="000000"/>
          <w:sz w:val="20"/>
        </w:rPr>
        <w:t xml:space="preserve">, 1,979 </w:t>
      </w:r>
      <w:r>
        <w:rPr>
          <w:rFonts w:ascii="Times New Roman" w:hAnsi="Times New Roman"/>
          <w:b w:val="0"/>
          <w:i/>
          <w:color w:val="000000"/>
          <w:sz w:val="20"/>
        </w:rPr>
        <w:t>Medium Risk</w:t>
      </w:r>
      <w:r>
        <w:rPr>
          <w:rFonts w:ascii="Times New Roman" w:hAnsi="Times New Roman"/>
          <w:b w:val="0"/>
          <w:i w:val="0"/>
          <w:color w:val="000000"/>
          <w:sz w:val="20"/>
        </w:rPr>
        <w:t xml:space="preserve">, and 2,676 </w:t>
      </w:r>
      <w:r>
        <w:rPr>
          <w:rFonts w:ascii="Times New Roman" w:hAnsi="Times New Roman"/>
          <w:b w:val="0"/>
          <w:i/>
          <w:color w:val="000000"/>
          <w:sz w:val="20"/>
        </w:rPr>
        <w:t>Low Risk</w:t>
      </w:r>
      <w:r>
        <w:rPr>
          <w:rFonts w:ascii="Times New Roman" w:hAnsi="Times New Roman"/>
          <w:b w:val="0"/>
          <w:i w:val="0"/>
          <w:color w:val="000000"/>
          <w:sz w:val="20"/>
        </w:rPr>
        <w:t xml:space="preserve"> cases. When </w:t>
      </w:r>
      <w:r>
        <w:rPr>
          <w:rFonts w:ascii="Times New Roman" w:hAnsi="Times New Roman"/>
          <w:b w:val="0"/>
          <w:i/>
          <w:color w:val="000000"/>
          <w:sz w:val="20"/>
        </w:rPr>
        <w:t>High Risk</w:t>
      </w:r>
      <w:r>
        <w:rPr>
          <w:rFonts w:ascii="Times New Roman" w:hAnsi="Times New Roman"/>
          <w:b w:val="0"/>
          <w:i w:val="0"/>
          <w:color w:val="000000"/>
          <w:sz w:val="20"/>
        </w:rPr>
        <w:t xml:space="preserve"> and </w:t>
      </w:r>
      <w:r>
        <w:rPr>
          <w:rFonts w:ascii="Times New Roman" w:hAnsi="Times New Roman"/>
          <w:b w:val="0"/>
          <w:i/>
          <w:color w:val="000000"/>
          <w:sz w:val="20"/>
        </w:rPr>
        <w:t>Medium Risk</w:t>
      </w:r>
      <w:r>
        <w:rPr>
          <w:rFonts w:ascii="Times New Roman" w:hAnsi="Times New Roman"/>
          <w:b w:val="0"/>
          <w:i w:val="0"/>
          <w:color w:val="000000"/>
          <w:sz w:val="20"/>
        </w:rPr>
        <w:t xml:space="preserve"> are mapped to an </w:t>
      </w:r>
      <w:r>
        <w:rPr>
          <w:rFonts w:ascii="Times New Roman" w:hAnsi="Times New Roman"/>
          <w:b w:val="0"/>
          <w:i/>
          <w:color w:val="000000"/>
          <w:sz w:val="20"/>
        </w:rPr>
        <w:t>AtRisk</w:t>
      </w:r>
      <w:r>
        <w:rPr>
          <w:rFonts w:ascii="Times New Roman" w:hAnsi="Times New Roman"/>
          <w:b w:val="0"/>
          <w:i w:val="0"/>
          <w:color w:val="000000"/>
          <w:sz w:val="20"/>
        </w:rPr>
        <w:t xml:space="preserve"> alert, recall increases from 0.7213 to 0.7866, while precision changes from 0.8007 to 0.7043. This change expands alert coverage and increases the stakeholder verification workload.</w:t>
      </w:r>
    </w:p>
    <w:p>
      <w:pPr>
        <w:keepNext/>
        <w:spacing w:before="80" w:after="40"/>
        <w:jc w:val="center"/>
      </w:pPr>
      <w:r>
        <w:rPr>
          <w:rFonts w:ascii="Times New Roman" w:hAnsi="Times New Roman"/>
          <w:color w:val="000000"/>
          <w:sz w:val="16"/>
        </w:rPr>
        <w:t>TABLE III</w:t>
        <w:br/>
      </w:r>
      <w:r>
        <w:rPr>
          <w:rFonts w:ascii="Times New Roman" w:hAnsi="Times New Roman"/>
          <w:color w:val="000000"/>
          <w:sz w:val="16"/>
        </w:rPr>
        <w:t>MODEL AND KNOWLEDGE-BASED RISK LAYER COMPARISON</w:t>
      </w:r>
    </w:p>
    <w:tbl>
      <w:tblPr>
        <w:tblStyle w:val="TableGrid"/>
        <w:tblW w:type="dxa" w:w="4800"/>
        <w:jc w:val="center"/>
        <w:tblLayout w:type="fixed"/>
        <w:tblLook w:firstColumn="1" w:firstRow="1" w:lastColumn="0" w:lastRow="0" w:noHBand="0" w:noVBand="1" w:val="04A0"/>
      </w:tblPr>
      <w:tblGrid>
        <w:gridCol w:w="1400"/>
        <w:gridCol w:w="1700"/>
        <w:gridCol w:w="1700"/>
      </w:tblGrid>
      <w:tr>
        <w:trPr>
          <w:tblHeader/>
        </w:trPr>
        <w:tc>
          <w:tcPr>
            <w:tcW w:type="dxa" w:w="14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Metric</w:t>
            </w:r>
          </w:p>
        </w:tc>
        <w:tc>
          <w:tcPr>
            <w:tcW w:type="dxa" w:w="1700"/>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700"/>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RF + Knowledge Layer</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0.7594</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0.7146</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Precision</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0.8007</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0.7043</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Recall</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0.7213</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0.7866</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AtRisk F1</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0.7589</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0.7432</w:t>
            </w:r>
          </w:p>
        </w:tc>
      </w:tr>
    </w:tbl>
    <w:p>
      <w:pPr>
        <w:spacing w:before="0" w:after="140" w:line="240" w:lineRule="auto"/>
      </w:pPr>
    </w:p>
    <w:p>
      <w:pPr>
        <w:spacing w:before="0" w:after="20" w:line="240" w:lineRule="auto"/>
        <w:ind w:firstLine="259"/>
        <w:jc w:val="both"/>
      </w:pPr>
      <w:r>
        <w:rPr>
          <w:rFonts w:ascii="Times New Roman" w:hAnsi="Times New Roman"/>
          <w:b w:val="0"/>
          <w:i w:val="0"/>
          <w:color w:val="000000"/>
          <w:sz w:val="20"/>
        </w:rPr>
        <w:t xml:space="preserve">The dashboard in Fig. 6 identifies 3,795 student-module-presentations in the </w:t>
      </w:r>
      <w:r>
        <w:rPr>
          <w:rFonts w:ascii="Times New Roman" w:hAnsi="Times New Roman"/>
          <w:b w:val="0"/>
          <w:i/>
          <w:color w:val="000000"/>
          <w:sz w:val="20"/>
        </w:rPr>
        <w:t>High Risk</w:t>
      </w:r>
      <w:r>
        <w:rPr>
          <w:rFonts w:ascii="Times New Roman" w:hAnsi="Times New Roman"/>
          <w:b w:val="0"/>
          <w:i w:val="0"/>
          <w:color w:val="000000"/>
          <w:sz w:val="20"/>
        </w:rPr>
        <w:t xml:space="preserve"> or </w:t>
      </w:r>
      <w:r>
        <w:rPr>
          <w:rFonts w:ascii="Times New Roman" w:hAnsi="Times New Roman"/>
          <w:b w:val="0"/>
          <w:i/>
          <w:color w:val="000000"/>
          <w:sz w:val="20"/>
        </w:rPr>
        <w:t>Medium Risk</w:t>
      </w:r>
      <w:r>
        <w:rPr>
          <w:rFonts w:ascii="Times New Roman" w:hAnsi="Times New Roman"/>
          <w:b w:val="0"/>
          <w:i w:val="0"/>
          <w:color w:val="000000"/>
          <w:sz w:val="20"/>
        </w:rPr>
        <w:t xml:space="preserve"> queue. The most frequent signal is low assessment score, with 2,341 cases. The priority list contains anonymous identities, module-presentations, </w:t>
      </w:r>
      <w:r>
        <w:rPr>
          <w:rFonts w:ascii="Times New Roman" w:hAnsi="Times New Roman"/>
          <w:b w:val="0"/>
          <w:i/>
          <w:color w:val="000000"/>
          <w:sz w:val="20"/>
        </w:rPr>
        <w:t>AtRisk</w:t>
      </w:r>
      <w:r>
        <w:rPr>
          <w:rFonts w:ascii="Times New Roman" w:hAnsi="Times New Roman"/>
          <w:b w:val="0"/>
          <w:i w:val="0"/>
          <w:color w:val="000000"/>
          <w:sz w:val="20"/>
        </w:rPr>
        <w:t xml:space="preserve"> probabilities, levels, signal counts, reasons, and recommendations. This structure connects technical evaluation with module-presentation monitoring and student-level follow-up.</w:t>
      </w:r>
    </w:p>
    <w:p>
      <w:pPr>
        <w:keepNext/>
        <w:spacing w:before="80" w:after="20"/>
        <w:jc w:val="center"/>
      </w:pPr>
      <w:r>
        <w:drawing>
          <wp:inline xmlns:a="http://schemas.openxmlformats.org/drawingml/2006/main" xmlns:pic="http://schemas.openxmlformats.org/drawingml/2006/picture">
            <wp:extent cx="2971800" cy="2676246"/>
            <wp:docPr id="6" name="Picture 6" descr="Fig. 6. OULAD early warning dashboard at the end of week four." title="Fig"/>
            <wp:cNvGraphicFramePr>
              <a:graphicFrameLocks noChangeAspect="1"/>
            </wp:cNvGraphicFramePr>
            <a:graphic>
              <a:graphicData uri="http://schemas.openxmlformats.org/drawingml/2006/picture">
                <pic:pic>
                  <pic:nvPicPr>
                    <pic:cNvPr id="0" name="fig-4-dashboard-dvbi.png"/>
                    <pic:cNvPicPr/>
                  </pic:nvPicPr>
                  <pic:blipFill>
                    <a:blip r:embed="rId14"/>
                    <a:stretch>
                      <a:fillRect/>
                    </a:stretch>
                  </pic:blipFill>
                  <pic:spPr>
                    <a:xfrm>
                      <a:off x="0" y="0"/>
                      <a:ext cx="2971800" cy="2676246"/>
                    </a:xfrm>
                    <a:prstGeom prst="rect"/>
                  </pic:spPr>
                </pic:pic>
              </a:graphicData>
            </a:graphic>
          </wp:inline>
        </w:drawing>
      </w:r>
    </w:p>
    <w:p>
      <w:pPr>
        <w:keepLines/>
        <w:spacing w:before="20" w:after="80"/>
        <w:jc w:val="center"/>
      </w:pPr>
      <w:r>
        <w:rPr>
          <w:rFonts w:ascii="Times New Roman" w:hAnsi="Times New Roman"/>
          <w:b w:val="0"/>
          <w:i w:val="0"/>
          <w:color w:val="000000"/>
          <w:sz w:val="16"/>
        </w:rPr>
        <w:t>Fig. 6. OULAD early warning dashboard at the end of week four.</w:t>
      </w:r>
    </w:p>
    <w:p>
      <w:pPr>
        <w:pStyle w:val="Heading2"/>
        <w:keepNext/>
        <w:spacing w:before="80" w:after="20"/>
        <w:jc w:val="left"/>
      </w:pPr>
      <w:r>
        <w:rPr>
          <w:rFonts w:ascii="Times New Roman" w:hAnsi="Times New Roman"/>
          <w:i/>
          <w:color w:val="000000"/>
          <w:sz w:val="20"/>
        </w:rPr>
        <w:t>G. Discussion and Limitations</w:t>
      </w:r>
    </w:p>
    <w:p>
      <w:pPr>
        <w:spacing w:before="0" w:after="20" w:line="240" w:lineRule="auto"/>
        <w:ind w:firstLine="259"/>
        <w:jc w:val="both"/>
      </w:pPr>
      <w:r>
        <w:rPr>
          <w:rFonts w:ascii="Times New Roman" w:hAnsi="Times New Roman"/>
          <w:b w:val="0"/>
          <w:i w:val="0"/>
          <w:color w:val="000000"/>
          <w:sz w:val="20"/>
        </w:rPr>
        <w:t xml:space="preserve">The experimental results show the relationship between the decision objective and model selection. XGBoost performs best in accuracy and ROC-AUC, while Random Forest achieves the highest </w:t>
      </w:r>
      <w:r>
        <w:rPr>
          <w:rFonts w:ascii="Times New Roman" w:hAnsi="Times New Roman"/>
          <w:b w:val="0"/>
          <w:i/>
          <w:color w:val="000000"/>
          <w:sz w:val="20"/>
        </w:rPr>
        <w:t>AtRisk</w:t>
      </w:r>
      <w:r>
        <w:rPr>
          <w:rFonts w:ascii="Times New Roman" w:hAnsi="Times New Roman"/>
          <w:b w:val="0"/>
          <w:i w:val="0"/>
          <w:color w:val="000000"/>
          <w:sz w:val="20"/>
        </w:rPr>
        <w:t xml:space="preserve"> recall in both cross-validation and the hold-out test. Performance near 0.76 represents an early scenario that uses only information available through day 28. This horizon provides more time for intervention while limiting the behavioral evidence available to the model.</w:t>
      </w:r>
    </w:p>
    <w:p>
      <w:pPr>
        <w:spacing w:before="0" w:after="20" w:line="240" w:lineRule="auto"/>
        <w:ind w:firstLine="259"/>
        <w:jc w:val="both"/>
      </w:pPr>
      <w:r>
        <w:rPr>
          <w:rFonts w:ascii="Times New Roman" w:hAnsi="Times New Roman"/>
          <w:b w:val="0"/>
          <w:i w:val="0"/>
          <w:color w:val="000000"/>
          <w:sz w:val="20"/>
        </w:rPr>
        <w:t>The assessment threshold of zero indicates that some module-presentations have no submissions by week four. Future work can use module-presentation-specific thresholds or align the cut-off with assessment schedules. The knowledge layer increases recall by 0.0653 points and produces operational reasons such as low VLE activity or incomplete assessments. These reasons support verification using contextual information from lecturers and tutors.</w:t>
      </w:r>
    </w:p>
    <w:p>
      <w:pPr>
        <w:spacing w:before="0" w:after="20" w:line="240" w:lineRule="auto"/>
        <w:ind w:firstLine="259"/>
        <w:jc w:val="both"/>
      </w:pPr>
      <w:r>
        <w:rPr>
          <w:rFonts w:ascii="Times New Roman" w:hAnsi="Times New Roman"/>
          <w:b w:val="0"/>
          <w:i w:val="0"/>
          <w:color w:val="000000"/>
          <w:sz w:val="20"/>
        </w:rPr>
        <w:t>The dashboard extends the model into Business Intelligence through risk aggregation, module-presentation comparison, and a student queue. The finding that 100% of GGG 2014J cases are prioritized signals the need to review group size, assessment schedules, and module characteristics before selecting an action.</w:t>
      </w:r>
    </w:p>
    <w:p>
      <w:pPr>
        <w:spacing w:before="0" w:after="20" w:line="240" w:lineRule="auto"/>
        <w:ind w:firstLine="259"/>
        <w:jc w:val="both"/>
      </w:pPr>
      <w:r>
        <w:rPr>
          <w:rFonts w:ascii="Times New Roman" w:hAnsi="Times New Roman"/>
          <w:b w:val="0"/>
          <w:i w:val="0"/>
          <w:color w:val="000000"/>
          <w:sz w:val="20"/>
        </w:rPr>
        <w:t>The study is limited by the context of OULAD at the United Kingdom Open University, behavioral features represented as aggregates, baseline model configurations, and quartile thresholds that require expert validation. The evaluation measures detection performance, while the impact of interventions on successful course outcomes requires further research using institutional data and an intervention evaluation design.</w:t>
      </w:r>
    </w:p>
    <w:p>
      <w:pPr>
        <w:pStyle w:val="Heading1"/>
        <w:keepNext/>
        <w:spacing w:before="120" w:after="60"/>
        <w:jc w:val="center"/>
      </w:pPr>
      <w:r>
        <w:rPr>
          <w:rFonts w:ascii="Times New Roman" w:hAnsi="Times New Roman"/>
          <w:b w:val="0"/>
          <w:color w:val="000000"/>
          <w:sz w:val="20"/>
        </w:rPr>
        <w:t>V. CONCLUSION</w:t>
      </w:r>
    </w:p>
    <w:p>
      <w:pPr>
        <w:spacing w:before="0" w:after="20" w:line="240" w:lineRule="auto"/>
        <w:ind w:firstLine="259"/>
        <w:jc w:val="both"/>
      </w:pPr>
      <w:r>
        <w:rPr>
          <w:rFonts w:ascii="Times New Roman" w:hAnsi="Times New Roman"/>
          <w:b w:val="0"/>
          <w:i w:val="0"/>
          <w:color w:val="000000"/>
          <w:sz w:val="20"/>
        </w:rPr>
        <w:t xml:space="preserve">This study develops an early warning system for students at risk of unsuccessful course outcomes by the end of week four using OULAD. The dataset is constructed at the student-module-presentation level using demographic, initial registration, assessment, and VLE activity features available through day 28. The </w:t>
      </w:r>
      <w:r>
        <w:rPr>
          <w:rFonts w:ascii="Times New Roman" w:hAnsi="Times New Roman"/>
          <w:b w:val="0"/>
          <w:i/>
          <w:color w:val="000000"/>
          <w:sz w:val="20"/>
        </w:rPr>
        <w:t>id_student</w:t>
      </w:r>
      <w:r>
        <w:rPr>
          <w:rFonts w:ascii="Times New Roman" w:hAnsi="Times New Roman"/>
          <w:b w:val="0"/>
          <w:i w:val="0"/>
          <w:color w:val="000000"/>
          <w:sz w:val="20"/>
        </w:rPr>
        <w:t>-based split maintains student independence between the train-validation and hold-out test sets.</w:t>
      </w:r>
    </w:p>
    <w:p>
      <w:pPr>
        <w:spacing w:before="0" w:after="20" w:line="240" w:lineRule="auto"/>
        <w:ind w:firstLine="259"/>
        <w:jc w:val="both"/>
      </w:pPr>
      <w:r>
        <w:rPr>
          <w:rFonts w:ascii="Times New Roman" w:hAnsi="Times New Roman"/>
          <w:b w:val="0"/>
          <w:i w:val="0"/>
          <w:color w:val="000000"/>
          <w:sz w:val="20"/>
        </w:rPr>
        <w:t xml:space="preserve">Random Forest is selected based on the highest cross-validation </w:t>
      </w:r>
      <w:r>
        <w:rPr>
          <w:rFonts w:ascii="Times New Roman" w:hAnsi="Times New Roman"/>
          <w:b w:val="0"/>
          <w:i/>
          <w:color w:val="000000"/>
          <w:sz w:val="20"/>
        </w:rPr>
        <w:t>AtRisk</w:t>
      </w:r>
      <w:r>
        <w:rPr>
          <w:rFonts w:ascii="Times New Roman" w:hAnsi="Times New Roman"/>
          <w:b w:val="0"/>
          <w:i w:val="0"/>
          <w:color w:val="000000"/>
          <w:sz w:val="20"/>
        </w:rPr>
        <w:t xml:space="preserve"> recall of 0.7107. On the hold-out test, the model achieves an accuracy of 0.7594, precision of 0.8007, recall of 0.7213, F1-score of 0.7589, and ROC-AUC of 0.8396. The knowledge-based risk layer increases recall to 0.7866 by combining the model prediction with four early behavioral signals. The system produces risk levels, reasons, and recommendations that can be translated into an intervention queue.</w:t>
      </w:r>
    </w:p>
    <w:p>
      <w:pPr>
        <w:spacing w:before="0" w:after="20" w:line="240" w:lineRule="auto"/>
        <w:ind w:firstLine="259"/>
        <w:jc w:val="both"/>
      </w:pPr>
      <w:r>
        <w:rPr>
          <w:rFonts w:ascii="Times New Roman" w:hAnsi="Times New Roman"/>
          <w:b w:val="0"/>
          <w:i w:val="0"/>
          <w:color w:val="000000"/>
          <w:sz w:val="20"/>
        </w:rPr>
        <w:t>The Business Intelligence dashboard presents the risk distribution, module-presentation priorities, dominant signals, model performance, and an anonymous student list for monitoring. The integration of supervised learning, a knowledge-based risk layer, and visual analytics produces decision support that connects prediction with academic follow-up processes.</w:t>
      </w:r>
    </w:p>
    <w:p>
      <w:pPr>
        <w:spacing w:before="0" w:after="20" w:line="240" w:lineRule="auto"/>
        <w:ind w:firstLine="259"/>
        <w:jc w:val="both"/>
      </w:pPr>
      <w:r>
        <w:rPr>
          <w:rFonts w:ascii="Times New Roman" w:hAnsi="Times New Roman"/>
          <w:b w:val="0"/>
          <w:i w:val="0"/>
          <w:color w:val="000000"/>
          <w:sz w:val="20"/>
        </w:rPr>
        <w:t>Future work can compare week-four, week-eight, and week-twelve horizons; use module-presentation-specific thresholds; tune hyperparameters; and test external validity on other institutional datasets. Intervention impact evaluation is also required to measure the system's contribution to successful course completion.</w:t>
      </w:r>
    </w:p>
    <w:p>
      <w:pPr>
        <w:pStyle w:val="Heading1"/>
        <w:keepNext/>
        <w:spacing w:before="120" w:after="60"/>
        <w:jc w:val="center"/>
      </w:pPr>
      <w:r>
        <w:rPr>
          <w:rFonts w:ascii="Times New Roman" w:hAnsi="Times New Roman"/>
          <w:b w:val="0"/>
          <w:color w:val="000000"/>
          <w:sz w:val="20"/>
        </w:rPr>
        <w:t>REFERENCES</w:t>
      </w:r>
    </w:p>
    <w:p>
      <w:pPr>
        <w:spacing w:after="40"/>
        <w:ind w:left="259" w:hanging="259"/>
        <w:jc w:val="both"/>
      </w:pPr>
      <w:r>
        <w:rPr>
          <w:rFonts w:ascii="Times New Roman" w:hAnsi="Times New Roman"/>
          <w:b w:val="0"/>
          <w:i w:val="0"/>
          <w:color w:val="000000"/>
          <w:sz w:val="16"/>
        </w:rPr>
        <w:t xml:space="preserve">[1] S. Matz et al., "Using machine learning to predict student retention from socio-demographic characteristics and app-based engagement metrics," </w:t>
      </w:r>
      <w:r>
        <w:rPr>
          <w:rFonts w:ascii="Times New Roman" w:hAnsi="Times New Roman"/>
          <w:b w:val="0"/>
          <w:i/>
          <w:color w:val="000000"/>
          <w:sz w:val="16"/>
        </w:rPr>
        <w:t>Scientific Reports</w:t>
      </w:r>
      <w:r>
        <w:rPr>
          <w:rFonts w:ascii="Times New Roman" w:hAnsi="Times New Roman"/>
          <w:b w:val="0"/>
          <w:i w:val="0"/>
          <w:color w:val="000000"/>
          <w:sz w:val="16"/>
        </w:rPr>
        <w:t>, 2023, doi: 10.1038/s41598-023-32484-w.</w:t>
      </w:r>
    </w:p>
    <w:p>
      <w:pPr>
        <w:spacing w:after="40"/>
        <w:ind w:left="259" w:hanging="259"/>
        <w:jc w:val="both"/>
      </w:pPr>
      <w:r>
        <w:rPr>
          <w:rFonts w:ascii="Times New Roman" w:hAnsi="Times New Roman"/>
          <w:b w:val="0"/>
          <w:i w:val="0"/>
          <w:color w:val="000000"/>
          <w:sz w:val="16"/>
        </w:rPr>
        <w:t xml:space="preserve">[2] S. Plak et al., "Early warning systems for more effective student counselling in higher education: Evidence from a Dutch field experiment," </w:t>
      </w:r>
      <w:r>
        <w:rPr>
          <w:rFonts w:ascii="Times New Roman" w:hAnsi="Times New Roman"/>
          <w:b w:val="0"/>
          <w:i/>
          <w:color w:val="000000"/>
          <w:sz w:val="16"/>
        </w:rPr>
        <w:t>Higher Education Quarterly</w:t>
      </w:r>
      <w:r>
        <w:rPr>
          <w:rFonts w:ascii="Times New Roman" w:hAnsi="Times New Roman"/>
          <w:b w:val="0"/>
          <w:i w:val="0"/>
          <w:color w:val="000000"/>
          <w:sz w:val="16"/>
        </w:rPr>
        <w:t>, 2022, doi: 10.1111/hequ.12298.</w:t>
      </w:r>
    </w:p>
    <w:p>
      <w:pPr>
        <w:spacing w:after="40"/>
        <w:ind w:left="259" w:hanging="259"/>
        <w:jc w:val="both"/>
      </w:pPr>
      <w:r>
        <w:rPr>
          <w:rFonts w:ascii="Times New Roman" w:hAnsi="Times New Roman"/>
          <w:b w:val="0"/>
          <w:i w:val="0"/>
          <w:color w:val="000000"/>
          <w:sz w:val="16"/>
        </w:rPr>
        <w:t xml:space="preserve">[3] J. Pecuchova and M. Drlik, "Enhancing the Early Student Dropout Prediction Model Through Clustering Analysis of Students' Digital Traces," </w:t>
      </w:r>
      <w:r>
        <w:rPr>
          <w:rFonts w:ascii="Times New Roman" w:hAnsi="Times New Roman"/>
          <w:b w:val="0"/>
          <w:i/>
          <w:color w:val="000000"/>
          <w:sz w:val="16"/>
        </w:rPr>
        <w:t>IEEE Access</w:t>
      </w:r>
      <w:r>
        <w:rPr>
          <w:rFonts w:ascii="Times New Roman" w:hAnsi="Times New Roman"/>
          <w:b w:val="0"/>
          <w:i w:val="0"/>
          <w:color w:val="000000"/>
          <w:sz w:val="16"/>
        </w:rPr>
        <w:t>, 2024, doi: 10.1109/ACCESS.2024.3486762.</w:t>
      </w:r>
    </w:p>
    <w:p>
      <w:pPr>
        <w:spacing w:after="40"/>
        <w:ind w:left="259" w:hanging="259"/>
        <w:jc w:val="both"/>
      </w:pPr>
      <w:r>
        <w:rPr>
          <w:rFonts w:ascii="Times New Roman" w:hAnsi="Times New Roman"/>
          <w:b w:val="0"/>
          <w:i w:val="0"/>
          <w:color w:val="000000"/>
          <w:sz w:val="16"/>
        </w:rPr>
        <w:t xml:space="preserve">[4] J. Kuzilek, M. Hlosta, and Z. Zdrahal, "Open University Learning Analytics dataset," </w:t>
      </w:r>
      <w:r>
        <w:rPr>
          <w:rFonts w:ascii="Times New Roman" w:hAnsi="Times New Roman"/>
          <w:b w:val="0"/>
          <w:i/>
          <w:color w:val="000000"/>
          <w:sz w:val="16"/>
        </w:rPr>
        <w:t>Scientific Data</w:t>
      </w:r>
      <w:r>
        <w:rPr>
          <w:rFonts w:ascii="Times New Roman" w:hAnsi="Times New Roman"/>
          <w:b w:val="0"/>
          <w:i w:val="0"/>
          <w:color w:val="000000"/>
          <w:sz w:val="16"/>
        </w:rPr>
        <w:t>, vol. 4, article no. 170171, 2017, doi: 10.1038/sdata.2017.171.</w:t>
      </w:r>
    </w:p>
    <w:p>
      <w:pPr>
        <w:spacing w:after="40"/>
        <w:ind w:left="259" w:hanging="259"/>
        <w:jc w:val="both"/>
      </w:pPr>
      <w:r>
        <w:rPr>
          <w:rFonts w:ascii="Times New Roman" w:hAnsi="Times New Roman"/>
          <w:b w:val="0"/>
          <w:i w:val="0"/>
          <w:color w:val="000000"/>
          <w:sz w:val="16"/>
        </w:rPr>
        <w:t xml:space="preserve">[5] Z. Shou, M. Xie, J. Mo, and H. Zhang, "Predicting Student Performance in Online Learning: A Multidimensional Time-Series Data Analysis Approach," </w:t>
      </w:r>
      <w:r>
        <w:rPr>
          <w:rFonts w:ascii="Times New Roman" w:hAnsi="Times New Roman"/>
          <w:b w:val="0"/>
          <w:i/>
          <w:color w:val="000000"/>
          <w:sz w:val="16"/>
        </w:rPr>
        <w:t>Applied Sciences</w:t>
      </w:r>
      <w:r>
        <w:rPr>
          <w:rFonts w:ascii="Times New Roman" w:hAnsi="Times New Roman"/>
          <w:b w:val="0"/>
          <w:i w:val="0"/>
          <w:color w:val="000000"/>
          <w:sz w:val="16"/>
        </w:rPr>
        <w:t>, vol. 14, no. 6, article no. 2522, 2024, doi: 10.3390/app14062522.</w:t>
      </w:r>
    </w:p>
    <w:p>
      <w:pPr>
        <w:spacing w:after="40"/>
        <w:ind w:left="259" w:hanging="259"/>
        <w:jc w:val="both"/>
      </w:pPr>
      <w:r>
        <w:rPr>
          <w:rFonts w:ascii="Times New Roman" w:hAnsi="Times New Roman"/>
          <w:b w:val="0"/>
          <w:i w:val="0"/>
          <w:color w:val="000000"/>
          <w:sz w:val="16"/>
        </w:rPr>
        <w:t xml:space="preserve">[6] K. Jawad, M. A. Shah, and M. Tahir, "Students' Academic Performance and Engagement Prediction in a Virtual Learning Environment Using Random Forest with Data Balancing," </w:t>
      </w:r>
      <w:r>
        <w:rPr>
          <w:rFonts w:ascii="Times New Roman" w:hAnsi="Times New Roman"/>
          <w:b w:val="0"/>
          <w:i/>
          <w:color w:val="000000"/>
          <w:sz w:val="16"/>
        </w:rPr>
        <w:t>Sustainability</w:t>
      </w:r>
      <w:r>
        <w:rPr>
          <w:rFonts w:ascii="Times New Roman" w:hAnsi="Times New Roman"/>
          <w:b w:val="0"/>
          <w:i w:val="0"/>
          <w:color w:val="000000"/>
          <w:sz w:val="16"/>
        </w:rPr>
        <w:t>, vol. 14, no. 22, article no. 14795, 2022, doi: 10.3390/su142214795.</w:t>
      </w:r>
    </w:p>
    <w:p>
      <w:pPr>
        <w:spacing w:after="40"/>
        <w:ind w:left="259" w:hanging="259"/>
        <w:jc w:val="both"/>
      </w:pPr>
      <w:r>
        <w:rPr>
          <w:rFonts w:ascii="Times New Roman" w:hAnsi="Times New Roman"/>
          <w:b w:val="0"/>
          <w:i w:val="0"/>
          <w:color w:val="000000"/>
          <w:sz w:val="16"/>
        </w:rPr>
        <w:t xml:space="preserve">[7] S. A. A. Balabied and H. F. Eid, "Utilizing Random Forest Algorithm for Early Detection of Academic Underperformance in Open Learning Environments," </w:t>
      </w:r>
      <w:r>
        <w:rPr>
          <w:rFonts w:ascii="Times New Roman" w:hAnsi="Times New Roman"/>
          <w:b w:val="0"/>
          <w:i/>
          <w:color w:val="000000"/>
          <w:sz w:val="16"/>
        </w:rPr>
        <w:t>PeerJ Computer Science</w:t>
      </w:r>
      <w:r>
        <w:rPr>
          <w:rFonts w:ascii="Times New Roman" w:hAnsi="Times New Roman"/>
          <w:b w:val="0"/>
          <w:i w:val="0"/>
          <w:color w:val="000000"/>
          <w:sz w:val="16"/>
        </w:rPr>
        <w:t>, vol. 9, article no. e1708, 2023, doi: 10.7717/peerj-cs.1708.</w:t>
      </w:r>
    </w:p>
    <w:p>
      <w:pPr>
        <w:spacing w:after="40"/>
        <w:ind w:left="259" w:hanging="259"/>
        <w:jc w:val="both"/>
      </w:pPr>
      <w:r>
        <w:rPr>
          <w:rFonts w:ascii="Times New Roman" w:hAnsi="Times New Roman"/>
          <w:b w:val="0"/>
          <w:i w:val="0"/>
          <w:color w:val="000000"/>
          <w:sz w:val="16"/>
        </w:rPr>
        <w:t xml:space="preserve">[8] B. Ujkani, D. Minkovska, and N. Hinov, "Course Success Prediction and Early Identification of At-Risk Students Using Explainable Artificial Intelligence," </w:t>
      </w:r>
      <w:r>
        <w:rPr>
          <w:rFonts w:ascii="Times New Roman" w:hAnsi="Times New Roman"/>
          <w:b w:val="0"/>
          <w:i/>
          <w:color w:val="000000"/>
          <w:sz w:val="16"/>
        </w:rPr>
        <w:t>Electronics</w:t>
      </w:r>
      <w:r>
        <w:rPr>
          <w:rFonts w:ascii="Times New Roman" w:hAnsi="Times New Roman"/>
          <w:b w:val="0"/>
          <w:i w:val="0"/>
          <w:color w:val="000000"/>
          <w:sz w:val="16"/>
        </w:rPr>
        <w:t>, vol. 13, no. 21, article no. 4157, 2024, doi: 10.3390/electronics13214157.</w:t>
      </w:r>
    </w:p>
    <w:p>
      <w:pPr>
        <w:spacing w:after="40"/>
        <w:ind w:left="259" w:hanging="259"/>
        <w:jc w:val="both"/>
      </w:pPr>
      <w:r>
        <w:rPr>
          <w:rFonts w:ascii="Times New Roman" w:hAnsi="Times New Roman"/>
          <w:b w:val="0"/>
          <w:i w:val="0"/>
          <w:color w:val="000000"/>
          <w:sz w:val="16"/>
        </w:rPr>
        <w:t xml:space="preserve">[9] B. Alnasyan, M. Basheri, M. Alassafi, and K. Alnasyan, "Kanformer: An Attention-Enhanced Deep Learning Model for Predicting Student Performance in Virtual Learning Environments," </w:t>
      </w:r>
      <w:r>
        <w:rPr>
          <w:rFonts w:ascii="Times New Roman" w:hAnsi="Times New Roman"/>
          <w:b w:val="0"/>
          <w:i/>
          <w:color w:val="000000"/>
          <w:sz w:val="16"/>
        </w:rPr>
        <w:t>Social Network Analysis and Mining</w:t>
      </w:r>
      <w:r>
        <w:rPr>
          <w:rFonts w:ascii="Times New Roman" w:hAnsi="Times New Roman"/>
          <w:b w:val="0"/>
          <w:i w:val="0"/>
          <w:color w:val="000000"/>
          <w:sz w:val="16"/>
        </w:rPr>
        <w:t>, vol. 15, article no. 25, 2025, doi: 10.1007/s13278-025-01446-7.</w:t>
      </w:r>
    </w:p>
    <w:p>
      <w:pPr>
        <w:spacing w:after="40"/>
        <w:ind w:left="259" w:hanging="259"/>
        <w:jc w:val="both"/>
      </w:pPr>
      <w:r>
        <w:rPr>
          <w:rFonts w:ascii="Times New Roman" w:hAnsi="Times New Roman"/>
          <w:b w:val="0"/>
          <w:i w:val="0"/>
          <w:color w:val="000000"/>
          <w:sz w:val="16"/>
        </w:rPr>
        <w:t xml:space="preserve">[10] T. Kustitskaya et al., "Hybrid Approach to Predicting Learning Success Based on Digital Educational History for Timely Identification of At-Risk Students," </w:t>
      </w:r>
      <w:r>
        <w:rPr>
          <w:rFonts w:ascii="Times New Roman" w:hAnsi="Times New Roman"/>
          <w:b w:val="0"/>
          <w:i/>
          <w:color w:val="000000"/>
          <w:sz w:val="16"/>
        </w:rPr>
        <w:t>Education Sciences</w:t>
      </w:r>
      <w:r>
        <w:rPr>
          <w:rFonts w:ascii="Times New Roman" w:hAnsi="Times New Roman"/>
          <w:b w:val="0"/>
          <w:i w:val="0"/>
          <w:color w:val="000000"/>
          <w:sz w:val="16"/>
        </w:rPr>
        <w:t>, 2024, doi: 10.3390/educsci14060657.</w:t>
      </w:r>
    </w:p>
    <w:p>
      <w:pPr>
        <w:spacing w:after="40"/>
        <w:ind w:left="259" w:hanging="259"/>
        <w:jc w:val="both"/>
      </w:pPr>
      <w:r>
        <w:rPr>
          <w:rFonts w:ascii="Times New Roman" w:hAnsi="Times New Roman"/>
          <w:b w:val="0"/>
          <w:i w:val="0"/>
          <w:color w:val="000000"/>
          <w:sz w:val="16"/>
        </w:rPr>
        <w:t xml:space="preserve">[11] M. Carballo-Mendivil et al., "Predicting Student Dropout from Day One: XGBoost-Based Early Warning System Using Pre-Enrollment Data," </w:t>
      </w:r>
      <w:r>
        <w:rPr>
          <w:rFonts w:ascii="Times New Roman" w:hAnsi="Times New Roman"/>
          <w:b w:val="0"/>
          <w:i/>
          <w:color w:val="000000"/>
          <w:sz w:val="16"/>
        </w:rPr>
        <w:t>Applied Sciences</w:t>
      </w:r>
      <w:r>
        <w:rPr>
          <w:rFonts w:ascii="Times New Roman" w:hAnsi="Times New Roman"/>
          <w:b w:val="0"/>
          <w:i w:val="0"/>
          <w:color w:val="000000"/>
          <w:sz w:val="16"/>
        </w:rPr>
        <w:t>, 2025, doi: 10.3390/app15169202.</w:t>
      </w:r>
    </w:p>
    <w:p>
      <w:pPr>
        <w:spacing w:after="40"/>
        <w:ind w:left="259" w:hanging="259"/>
        <w:jc w:val="both"/>
      </w:pPr>
      <w:r>
        <w:rPr>
          <w:rFonts w:ascii="Times New Roman" w:hAnsi="Times New Roman"/>
          <w:b w:val="0"/>
          <w:i w:val="0"/>
          <w:color w:val="000000"/>
          <w:sz w:val="16"/>
        </w:rPr>
        <w:t xml:space="preserve">[12] A. Garmpis et al., "Assisting Educational Analytics with AutoML Functionalities," </w:t>
      </w:r>
      <w:r>
        <w:rPr>
          <w:rFonts w:ascii="Times New Roman" w:hAnsi="Times New Roman"/>
          <w:b w:val="0"/>
          <w:i/>
          <w:color w:val="000000"/>
          <w:sz w:val="16"/>
        </w:rPr>
        <w:t>Computers</w:t>
      </w:r>
      <w:r>
        <w:rPr>
          <w:rFonts w:ascii="Times New Roman" w:hAnsi="Times New Roman"/>
          <w:b w:val="0"/>
          <w:i w:val="0"/>
          <w:color w:val="000000"/>
          <w:sz w:val="16"/>
        </w:rPr>
        <w:t>, 2022, doi: 10.3390/computers11060097.</w:t>
      </w:r>
    </w:p>
    <w:p>
      <w:pPr>
        <w:spacing w:after="40"/>
        <w:ind w:left="259" w:hanging="259"/>
        <w:jc w:val="both"/>
      </w:pPr>
      <w:r>
        <w:rPr>
          <w:rFonts w:ascii="Times New Roman" w:hAnsi="Times New Roman"/>
          <w:b w:val="0"/>
          <w:i w:val="0"/>
          <w:color w:val="000000"/>
          <w:sz w:val="16"/>
        </w:rPr>
        <w:t xml:space="preserve">[13] C. Y. Tsai et al., "Precision education with statistical learning and deep learning: a case study in Taiwan," </w:t>
      </w:r>
      <w:r>
        <w:rPr>
          <w:rFonts w:ascii="Times New Roman" w:hAnsi="Times New Roman"/>
          <w:b w:val="0"/>
          <w:i/>
          <w:color w:val="000000"/>
          <w:sz w:val="16"/>
        </w:rPr>
        <w:t>International Journal of Educational Technology in Higher Education</w:t>
      </w:r>
      <w:r>
        <w:rPr>
          <w:rFonts w:ascii="Times New Roman" w:hAnsi="Times New Roman"/>
          <w:b w:val="0"/>
          <w:i w:val="0"/>
          <w:color w:val="000000"/>
          <w:sz w:val="16"/>
        </w:rPr>
        <w:t>, 2020, doi: 10.1186/s41239-020-00186-2.</w:t>
      </w:r>
    </w:p>
    <w:p>
      <w:pPr>
        <w:spacing w:after="40"/>
        <w:ind w:left="259" w:hanging="259"/>
        <w:jc w:val="both"/>
      </w:pPr>
      <w:r>
        <w:rPr>
          <w:rFonts w:ascii="Times New Roman" w:hAnsi="Times New Roman"/>
          <w:b w:val="0"/>
          <w:i w:val="0"/>
          <w:color w:val="000000"/>
          <w:sz w:val="16"/>
        </w:rPr>
        <w:t xml:space="preserve">[14] M. V. Martins et al., "Multi-Class Phased Prediction of Academic Performance and Dropout in Higher Education," </w:t>
      </w:r>
      <w:r>
        <w:rPr>
          <w:rFonts w:ascii="Times New Roman" w:hAnsi="Times New Roman"/>
          <w:b w:val="0"/>
          <w:i/>
          <w:color w:val="000000"/>
          <w:sz w:val="16"/>
        </w:rPr>
        <w:t>Applied Sciences</w:t>
      </w:r>
      <w:r>
        <w:rPr>
          <w:rFonts w:ascii="Times New Roman" w:hAnsi="Times New Roman"/>
          <w:b w:val="0"/>
          <w:i w:val="0"/>
          <w:color w:val="000000"/>
          <w:sz w:val="16"/>
        </w:rPr>
        <w:t>, 2023, doi: 10.3390/app13084702.</w:t>
      </w:r>
    </w:p>
    <w:p>
      <w:pPr>
        <w:spacing w:after="40"/>
        <w:ind w:left="259" w:hanging="259"/>
        <w:jc w:val="both"/>
      </w:pPr>
      <w:r>
        <w:rPr>
          <w:rFonts w:ascii="Times New Roman" w:hAnsi="Times New Roman"/>
          <w:b w:val="0"/>
          <w:i w:val="0"/>
          <w:color w:val="000000"/>
          <w:sz w:val="16"/>
        </w:rPr>
        <w:t xml:space="preserve">[15] J. R. Rico-Juan et al., "Study regarding the influence of a student's personality and an LMS usage profile on learning performance using machine learning techniques," </w:t>
      </w:r>
      <w:r>
        <w:rPr>
          <w:rFonts w:ascii="Times New Roman" w:hAnsi="Times New Roman"/>
          <w:b w:val="0"/>
          <w:i/>
          <w:color w:val="000000"/>
          <w:sz w:val="16"/>
        </w:rPr>
        <w:t>Applied Intelligence</w:t>
      </w:r>
      <w:r>
        <w:rPr>
          <w:rFonts w:ascii="Times New Roman" w:hAnsi="Times New Roman"/>
          <w:b w:val="0"/>
          <w:i w:val="0"/>
          <w:color w:val="000000"/>
          <w:sz w:val="16"/>
        </w:rPr>
        <w:t>, 2024, doi: 10.1007/s10489-024-05483-1.</w:t>
      </w:r>
    </w:p>
    <w:p>
      <w:pPr>
        <w:spacing w:after="40"/>
        <w:ind w:left="259" w:hanging="259"/>
        <w:jc w:val="both"/>
      </w:pPr>
      <w:r>
        <w:rPr>
          <w:rFonts w:ascii="Times New Roman" w:hAnsi="Times New Roman"/>
          <w:b w:val="0"/>
          <w:i w:val="0"/>
          <w:color w:val="000000"/>
          <w:sz w:val="16"/>
        </w:rPr>
        <w:t xml:space="preserve">[16] J. Berens et al., "Crossing individual university boundaries: a comprehensive approach to predicting dropouts in the higher education system," </w:t>
      </w:r>
      <w:r>
        <w:rPr>
          <w:rFonts w:ascii="Times New Roman" w:hAnsi="Times New Roman"/>
          <w:b w:val="0"/>
          <w:i/>
          <w:color w:val="000000"/>
          <w:sz w:val="16"/>
        </w:rPr>
        <w:t>Higher Education</w:t>
      </w:r>
      <w:r>
        <w:rPr>
          <w:rFonts w:ascii="Times New Roman" w:hAnsi="Times New Roman"/>
          <w:b w:val="0"/>
          <w:i w:val="0"/>
          <w:color w:val="000000"/>
          <w:sz w:val="16"/>
        </w:rPr>
        <w:t>, 2025, doi: 10.1007/s10734-025-01509-w.</w:t>
      </w:r>
    </w:p>
    <w:sectPr w:rsidR="00FC693F" w:rsidRPr="0006063C" w:rsidSect="00034616">
      <w:type w:val="continuous"/>
      <w:pgSz w:w="12240" w:h="15840"/>
      <w:pgMar w:top="1080" w:right="900" w:bottom="1440" w:left="900" w:header="432" w:footer="432"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 of Students at Risk of Unsuccessful Course Outcomes in Week Four Using Supervised Learning and a Knowledge-Based Risk Layer on the Open University Learning Analytics Dataset</dc:title>
  <dc:subject>Early warning of unsuccessful course outcomes using OULAD</dc:subject>
  <dc:creator>Muhammad Rizky Hajar, Heri Santosa, Alwie Muflich, Andi Sunyoto, Robert Marco</dc:creator>
  <cp:keywords>academic risk prediction, course withdrawal, course failure, OULAD, early warning</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