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Risiko Ketidakberhasilan Mahasiswa dalam Mata Kuliah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Hasil akhir mata kuliah memberi informasi penting bagi monitoring akademik dan perencanaan intervensi dini. Penelitian ini mengembangkan early warning risiko ketidakberhasilan mahasiswa dalam mata kuliah pada akhir minggu keempat menggunakan Open University Learning Analytics Dataset (OULAD). Setiap baris merepresentasikan satu mahasiswa pada satu module-presentation.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mata kuliah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 pada tingkat mata kuliah.</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Kegagalan dan pengunduran diri dari mata kuliah menjadi perhatian dalam pendidikan tinggi karena berkaitan dengan capaian belajar,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2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2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2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20" w:line="240" w:lineRule="auto"/>
        <w:ind w:firstLine="259"/>
        <w:jc w:val="both"/>
      </w:pPr>
      <w:r>
        <w:rPr>
          <w:rFonts w:ascii="Times New Roman" w:hAnsi="Times New Roman"/>
          <w:b w:val="0"/>
          <w:i w:val="0"/>
          <w:color w:val="000000"/>
          <w:sz w:val="20"/>
        </w:rPr>
        <w:t>Penelitian ini bertujuan mengembangkan klasifikasi biner risiko ketidakberhasilan mahasiswa dalam mata kuliah pada minggu keempat, mengevaluasi tiga algoritma supervised learning, dan mengintegrasikan model terpilih dengan knowledge-based risk layer. Hasil sistem diterjemahkan menjadi dashboard Business Intelligence untuk monitoring risiko dan prioritas intervensi akademik pada tingkat module-presentation.</w:t>
      </w:r>
    </w:p>
    <w:p>
      <w:pPr>
        <w:spacing w:before="0" w:after="2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Penelitian student dropout dan academic performance analytics memanfaatkan data akademik, sosiodemografis, dan aktivitas digital untuk memprediksi keberlanjutan studi serta hasil pembelajaran. Informasi awal seperti karakteristik sosiodemografis, riwayat akademik, dan engagement digital memiliki nilai prediktif terhadap retensi mahasiswa [1]. Pada OULAD, ruang lingkup target berada pada hasil akhir mata kuliah untuk setiap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20" w:line="240" w:lineRule="auto"/>
        <w:ind w:firstLine="259"/>
        <w:jc w:val="both"/>
      </w:pPr>
      <w:r>
        <w:rPr>
          <w:rFonts w:ascii="Times New Roman" w:hAnsi="Times New Roman"/>
          <w:b w:val="0"/>
          <w:i w:val="0"/>
          <w:color w:val="000000"/>
          <w:sz w:val="20"/>
        </w:rPr>
        <w:t>Penelitian berbasis OULAD terus berkembang melalui kombinasi fitur assessment, aktivitas VLE, dan profil mahasiswa. Jawad et al. menerapkan Random Forest dengan SMOTE dan memperoleh testing accuracy 0,892 pada skenario 260 hari [6]. Balabied dan Eid melaporkan accuracy serta F1-score 0,90 menggunakan Random Forest [7]. Ujkani et al. memperoleh accuracy 0,93 menggunakan custom neural network [8], sedangkan KANFormer dari Alnasyan et al. mencapai accuracy 0,9459 dan F1-score 0,9481 [9]. Shou et al. [5], Ujkani et al. [8], dan Alnasyan et al. [9] memakai definisi target yang sebanding. Perbedaan horizon, split, balancing, dan arsitektur model tetap menentukan konteks perbandingan.</w:t>
      </w:r>
    </w:p>
    <w:p>
      <w:pPr>
        <w:spacing w:before="0" w:after="20" w:line="240" w:lineRule="auto"/>
        <w:ind w:firstLine="259"/>
        <w:jc w:val="both"/>
      </w:pPr>
      <w:r>
        <w:rPr>
          <w:rFonts w:ascii="Times New Roman" w:hAnsi="Times New Roman"/>
          <w:b w:val="0"/>
          <w:i w:val="0"/>
          <w:color w:val="000000"/>
          <w:sz w:val="20"/>
        </w:rPr>
        <w:t>Pendekatan hybrid mengintegrasikan beberapa sumber data untuk identifikasi mahasiswa berisiko [10]. Penelitian lain mencakup early warning berbasis XGBoost [11], AutoML [12], precision education [13], phased prediction [14], pola penggunaan LMS [15], dan analisis lintas institusi [16]. Keragaman tersebut menunjukkan bahwa fitur, horizon waktu, dan konteks institusi menentukan interpretasi performa model.</w:t>
      </w:r>
    </w:p>
    <w:p>
      <w:pPr>
        <w:spacing w:before="0" w:after="2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Penelitian menggunakan supervised binary classification untuk mendeteksi risiko ketidakberhasilan mahasiswa dalam mata kuliah pada akhir minggu keempat. Alurnya mencakup audit OULAD, pembentukan fitur dengan cut-off temporal, exploratory data analysis, pemisahan berbasis mahasiswa, evaluasi model, knowledge-based risk layer, dan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Open University Learning Analytics Dataset (OULAD) [4] diperoleh melalui UCI Machine Learning Repository. Tabel yang digunakan meliputi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dan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20" w:line="240" w:lineRule="auto"/>
        <w:ind w:firstLine="259"/>
        <w:jc w:val="both"/>
      </w:pPr>
      <w:r>
        <w:rPr>
          <w:rFonts w:ascii="Times New Roman" w:hAnsi="Times New Roman"/>
          <w:b w:val="0"/>
          <w:i w:val="0"/>
          <w:color w:val="000000"/>
          <w:sz w:val="20"/>
        </w:rPr>
        <w:t xml:space="preserve">Satu baris hasil preprocessing merepresentasikan seorang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Unit student-module-presentation ini mengikuti struktur label </w:t>
      </w:r>
      <w:r>
        <w:rPr>
          <w:rFonts w:ascii="Times New Roman" w:hAnsi="Times New Roman"/>
          <w:b w:val="0"/>
          <w:i/>
          <w:color w:val="000000"/>
          <w:sz w:val="20"/>
        </w:rPr>
        <w:t>studentInfo</w:t>
      </w:r>
      <w:r>
        <w:rPr>
          <w:rFonts w:ascii="Times New Roman" w:hAnsi="Times New Roman"/>
          <w:b w:val="0"/>
          <w:i w:val="0"/>
          <w:color w:val="000000"/>
          <w:sz w:val="20"/>
        </w:rPr>
        <w:t xml:space="preserve"> dan penggabungan data registrasi, assessment, serta VLE.</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Target dirumuskan sebagai klasifikasi biner pada tingkat mata kuliah.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Status tersebut menjelaskan hasil mahasiswa pada suatu module-presentation.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2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2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2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2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2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lalu mengukur perubahan cakupan deteksi, precision, dan beban verifikasi.</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2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 Missing value terutama terdapat pada </w:t>
      </w:r>
      <w:r>
        <w:rPr>
          <w:rFonts w:ascii="Times New Roman" w:hAnsi="Times New Roman"/>
          <w:b w:val="0"/>
          <w:i/>
          <w:color w:val="000000"/>
          <w:sz w:val="20"/>
        </w:rPr>
        <w:t>imd_band</w:t>
      </w:r>
      <w:r>
        <w:rPr>
          <w:rFonts w:ascii="Times New Roman" w:hAnsi="Times New Roman"/>
          <w:b w:val="0"/>
          <w:i w:val="0"/>
          <w:color w:val="000000"/>
          <w:sz w:val="20"/>
        </w:rPr>
        <w:t xml:space="preserve"> dan sebagian kecil </w:t>
      </w:r>
      <w:r>
        <w:rPr>
          <w:rFonts w:ascii="Times New Roman" w:hAnsi="Times New Roman"/>
          <w:b w:val="0"/>
          <w:i/>
          <w:color w:val="000000"/>
          <w:sz w:val="20"/>
        </w:rPr>
        <w:t>date_registration</w:t>
      </w:r>
      <w:r>
        <w:rPr>
          <w:rFonts w:ascii="Times New Roman" w:hAnsi="Times New Roman"/>
          <w:b w:val="0"/>
          <w:i w:val="0"/>
          <w:color w:val="000000"/>
          <w:sz w:val="20"/>
        </w:rPr>
        <w:t>; keduanya ditangani di dalam pipeline berdasarkan data pelatihan pada setiap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Tabel I menunjukkan hasil 5-fold GroupKFold. Random Forest menghasilkan mean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dan dipilih sebagai model final sesuai kriteria seleksi. XGBoost menghasilkan accuracy, F1-score, dan ROC-AUC tertinggi, masing-masing sebesar 0,7584, 0,7522, dan 0,8440.</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dan ROC-AUC tertinggi, sedangkan Random Forest mempertahankan recall </w:t>
      </w:r>
      <w:r>
        <w:rPr>
          <w:rFonts w:ascii="Times New Roman" w:hAnsi="Times New Roman"/>
          <w:b w:val="0"/>
          <w:i/>
          <w:color w:val="000000"/>
          <w:sz w:val="20"/>
        </w:rPr>
        <w:t>AtRisk</w:t>
      </w:r>
      <w:r>
        <w:rPr>
          <w:rFonts w:ascii="Times New Roman" w:hAnsi="Times New Roman"/>
          <w:b w:val="0"/>
          <w:i w:val="0"/>
          <w:color w:val="000000"/>
          <w:sz w:val="20"/>
        </w:rPr>
        <w:t xml:space="preserve"> tertinggi. Dari 3.398 kasus </w:t>
      </w:r>
      <w:r>
        <w:rPr>
          <w:rFonts w:ascii="Times New Roman" w:hAnsi="Times New Roman"/>
          <w:b w:val="0"/>
          <w:i/>
          <w:color w:val="000000"/>
          <w:sz w:val="20"/>
        </w:rPr>
        <w:t>AtRisk</w:t>
      </w:r>
      <w:r>
        <w:rPr>
          <w:rFonts w:ascii="Times New Roman" w:hAnsi="Times New Roman"/>
          <w:b w:val="0"/>
          <w:i w:val="0"/>
          <w:color w:val="000000"/>
          <w:sz w:val="20"/>
        </w:rPr>
        <w:t>, Random Forest mengenali 2.451 kasus dan melewatkan 947 kasus.</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membandingkan metrik ketiga model, Fig. 2 menunjukkan confusion matrix Random Forest, dan Fig. 3 menyajikan kurva ROC. Ketiga model memiliki kurva ROC yang berdekatan. Pemilihan Random Forest mengikuti tujuan early warning yang menempatkan cakupan deteksi </w:t>
      </w:r>
      <w:r>
        <w:rPr>
          <w:rFonts w:ascii="Times New Roman" w:hAnsi="Times New Roman"/>
          <w:b w:val="0"/>
          <w:i/>
          <w:color w:val="000000"/>
          <w:sz w:val="20"/>
        </w:rPr>
        <w:t>AtRisk</w:t>
      </w:r>
      <w:r>
        <w:rPr>
          <w:rFonts w:ascii="Times New Roman" w:hAnsi="Times New Roman"/>
          <w:b w:val="0"/>
          <w:i w:val="0"/>
          <w:color w:val="000000"/>
          <w:sz w:val="20"/>
        </w:rPr>
        <w:t xml:space="preserve"> sebagai prioritas model selection.</w:t>
      </w:r>
    </w:p>
    <w:p>
      <w:pPr>
        <w:keepNext/>
        <w:spacing w:before="80" w:after="20"/>
        <w:jc w:val="center"/>
      </w:pPr>
      <w:r>
        <w:drawing>
          <wp:inline xmlns:a="http://schemas.openxmlformats.org/drawingml/2006/main" xmlns:pic="http://schemas.openxmlformats.org/drawingml/2006/picture">
            <wp:extent cx="2971800" cy="2176023"/>
            <wp:docPr id="1" name="Picture 1" descr="Fig. 1. Perbandingan metrik model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Perbandingan metrik model pada hold-out test.</w:t>
      </w:r>
    </w:p>
    <w:p>
      <w:pPr>
        <w:keepNext/>
        <w:spacing w:before="80" w:after="20"/>
        <w:jc w:val="center"/>
      </w:pPr>
      <w:r>
        <w:drawing>
          <wp:inline xmlns:a="http://schemas.openxmlformats.org/drawingml/2006/main" xmlns:pic="http://schemas.openxmlformats.org/drawingml/2006/picture">
            <wp:extent cx="2971800" cy="2286727"/>
            <wp:docPr id="2" name="Picture 2" descr="Fig. 2.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286727"/>
                    </a:xfrm>
                    <a:prstGeom prst="rect"/>
                  </pic:spPr>
                </pic:pic>
              </a:graphicData>
            </a:graphic>
          </wp:inline>
        </w:drawing>
      </w:r>
    </w:p>
    <w:p>
      <w:pPr>
        <w:keepLines/>
        <w:spacing w:before="20" w:after="80"/>
        <w:jc w:val="center"/>
      </w:pPr>
      <w:r>
        <w:rPr>
          <w:rFonts w:ascii="Times New Roman" w:hAnsi="Times New Roman"/>
          <w:b w:val="0"/>
          <w:i w:val="0"/>
          <w:color w:val="000000"/>
          <w:sz w:val="16"/>
        </w:rPr>
        <w:t>Fig. 2. Confusion matrix Random Forest pada hold-out test.</w:t>
      </w:r>
    </w:p>
    <w:p>
      <w:pPr>
        <w:keepNext/>
        <w:spacing w:before="80" w:after="20"/>
        <w:jc w:val="center"/>
      </w:pPr>
      <w:r>
        <w:drawing>
          <wp:inline xmlns:a="http://schemas.openxmlformats.org/drawingml/2006/main" xmlns:pic="http://schemas.openxmlformats.org/drawingml/2006/picture">
            <wp:extent cx="2971800" cy="2102853"/>
            <wp:docPr id="3" name="Picture 3" descr="Fig. 3. Kurva ROC model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02853"/>
                    </a:xfrm>
                    <a:prstGeom prst="rect"/>
                  </pic:spPr>
                </pic:pic>
              </a:graphicData>
            </a:graphic>
          </wp:inline>
        </w:drawing>
      </w:r>
    </w:p>
    <w:p>
      <w:pPr>
        <w:keepLines/>
        <w:spacing w:before="20" w:after="80"/>
        <w:jc w:val="center"/>
      </w:pPr>
      <w:r>
        <w:rPr>
          <w:rFonts w:ascii="Times New Roman" w:hAnsi="Times New Roman"/>
          <w:b w:val="0"/>
          <w:i w:val="0"/>
          <w:color w:val="000000"/>
          <w:sz w:val="16"/>
        </w:rPr>
        <w:t>Fig. 3. Kurva ROC model pada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Kontribusi fitur Random Forest didominasi sinyal perilaku awal. Total klik VLE, hari aktivitas terakhir, jumlah hari aktif, dan ragam situs yang diakses muncul sebagai prediktor teratas, diikuti fitur assessment dan registrasi. Nilai importance menunjukkan kontribusi prediktif global; interpretasi hubungan sebab akibat memerlukan desain penelitian kausal.</w:t>
      </w:r>
    </w:p>
    <w:p>
      <w:pPr>
        <w:keepNext/>
        <w:spacing w:before="80" w:after="20"/>
        <w:jc w:val="center"/>
      </w:pPr>
      <w:r>
        <w:drawing>
          <wp:inline xmlns:a="http://schemas.openxmlformats.org/drawingml/2006/main" xmlns:pic="http://schemas.openxmlformats.org/drawingml/2006/picture">
            <wp:extent cx="2971800" cy="1763751"/>
            <wp:docPr id="4" name="Picture 4" descr="Fig. 4.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Lima belas fitur dengan feature importance tertinggi pada Random Forest.</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menempatkan hasil penelitian dalam konteks lima studi OULAD. Shou et al. memakai target biner yang sama pada 20% durasi course [5]. Jawad et al. menggunakan data sampai 260 hari dan SMOTE [6], Balabied dan Eid menggunakan Random Forest [7], sedangkan Ujkani et al. [8] dan Alnasyan et al. [9]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Grafik menyajikan nilai yang dilaporkan setiap studi sebagai benchmark kontekstual karena horizon, split, balancing, dan model yang digunakan berbeda.</w:t>
      </w:r>
    </w:p>
    <w:p>
      <w:pPr>
        <w:keepNext/>
        <w:spacing w:before="80" w:after="20"/>
        <w:jc w:val="center"/>
      </w:pPr>
      <w:r>
        <w:drawing>
          <wp:inline xmlns:a="http://schemas.openxmlformats.org/drawingml/2006/main" xmlns:pic="http://schemas.openxmlformats.org/drawingml/2006/picture">
            <wp:extent cx="2971800" cy="1585578"/>
            <wp:docPr id="5" name="Picture 5" descr="Fig. 5. Benchmark accuracy dan F1-score penelitian berbasis OULAD. Perbandingan bersifat kontekstual karena perbedaan horizon, data split, balancing, dan model." title="Fig"/>
            <wp:cNvGraphicFramePr>
              <a:graphicFrameLocks noChangeAspect="1"/>
            </wp:cNvGraphicFramePr>
            <a:graphic>
              <a:graphicData uri="http://schemas.openxmlformats.org/drawingml/2006/picture">
                <pic:pic>
                  <pic:nvPicPr>
                    <pic:cNvPr id="0" name="fig-5-oulad-benchmark.png"/>
                    <pic:cNvPicPr/>
                  </pic:nvPicPr>
                  <pic:blipFill>
                    <a:blip r:embed="rId13"/>
                    <a:stretch>
                      <a:fillRect/>
                    </a:stretch>
                  </pic:blipFill>
                  <pic:spPr>
                    <a:xfrm>
                      <a:off x="0" y="0"/>
                      <a:ext cx="2971800" cy="1585578"/>
                    </a:xfrm>
                    <a:prstGeom prst="rect"/>
                  </pic:spPr>
                </pic:pic>
              </a:graphicData>
            </a:graphic>
          </wp:inline>
        </w:drawing>
      </w:r>
    </w:p>
    <w:p>
      <w:pPr>
        <w:keepLines/>
        <w:spacing w:before="20" w:after="80"/>
        <w:jc w:val="center"/>
      </w:pPr>
      <w:r>
        <w:rPr>
          <w:rFonts w:ascii="Times New Roman" w:hAnsi="Times New Roman"/>
          <w:b w:val="0"/>
          <w:i w:val="0"/>
          <w:color w:val="000000"/>
          <w:sz w:val="16"/>
        </w:rPr>
        <w:t>Fig. 5. Benchmark accuracy dan F1-score penelitian berbasis OULAD. Perbandingan bersifat kontekstual karena perbedaan horizon, data split, balancing, dan model.</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Threshold kuartil bawah train-validation adalah skor assessment 0, jumlah assessment 0, total klik VLE 47, dan hari aktif VLE 4.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Ketika </w:t>
      </w:r>
      <w:r>
        <w:rPr>
          <w:rFonts w:ascii="Times New Roman" w:hAnsi="Times New Roman"/>
          <w:b w:val="0"/>
          <w:i/>
          <w:color w:val="000000"/>
          <w:sz w:val="20"/>
        </w:rPr>
        <w:t>High Risk</w:t>
      </w:r>
      <w:r>
        <w:rPr>
          <w:rFonts w:ascii="Times New Roman" w:hAnsi="Times New Roman"/>
          <w:b w:val="0"/>
          <w:i w:val="0"/>
          <w:color w:val="000000"/>
          <w:sz w:val="20"/>
        </w:rPr>
        <w:t xml:space="preserve"> serta </w:t>
      </w:r>
      <w:r>
        <w:rPr>
          <w:rFonts w:ascii="Times New Roman" w:hAnsi="Times New Roman"/>
          <w:b w:val="0"/>
          <w:i/>
          <w:color w:val="000000"/>
          <w:sz w:val="20"/>
        </w:rPr>
        <w:t>Medium Risk</w:t>
      </w:r>
      <w:r>
        <w:rPr>
          <w:rFonts w:ascii="Times New Roman" w:hAnsi="Times New Roman"/>
          <w:b w:val="0"/>
          <w:i w:val="0"/>
          <w:color w:val="000000"/>
          <w:sz w:val="20"/>
        </w:rPr>
        <w:t xml:space="preserve"> dipetakan sebagai alarm </w:t>
      </w:r>
      <w:r>
        <w:rPr>
          <w:rFonts w:ascii="Times New Roman" w:hAnsi="Times New Roman"/>
          <w:b w:val="0"/>
          <w:i/>
          <w:color w:val="000000"/>
          <w:sz w:val="20"/>
        </w:rPr>
        <w:t>AtRisk</w:t>
      </w:r>
      <w:r>
        <w:rPr>
          <w:rFonts w:ascii="Times New Roman" w:hAnsi="Times New Roman"/>
          <w:b w:val="0"/>
          <w:i w:val="0"/>
          <w:color w:val="000000"/>
          <w:sz w:val="20"/>
        </w:rPr>
        <w:t>, recall meningkat dari 0,7213 menjadi 0,7866; precision berubah dari 0,8007 menjadi 0,7043. Perubahan tersebut memperluas cakupan alarm dan menambah kebutuhan verifikasi stakeholder.</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Dashboard pada Fig. 6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terbanyak adalah skor assessment rendah dengan 2.341 kasus. Daftar prioritas memuat identitas anonim,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jumlah sinyal, alasan, dan rekomendasi. Struktur ini menghubungkan evaluasi teknis dengan monitoring module-presentation dan tindak lanjut tingkat mahasiswa.</w:t>
      </w:r>
    </w:p>
    <w:p>
      <w:pPr>
        <w:keepNext/>
        <w:spacing w:before="80" w:after="20"/>
        <w:jc w:val="center"/>
      </w:pPr>
      <w:r>
        <w:drawing>
          <wp:inline xmlns:a="http://schemas.openxmlformats.org/drawingml/2006/main" xmlns:pic="http://schemas.openxmlformats.org/drawingml/2006/picture">
            <wp:extent cx="2971800" cy="2676246"/>
            <wp:docPr id="6" name="Picture 6" descr="Fig. 6.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4"/>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6. Dashboard early warning OULAD pada akhir minggu keempat.</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Hasil eksperimen memperlihatkan hubungan antara tujuan keputusan dan model selection. XGBoost unggul pada accuracy dan ROC-AUC, sementara Random Forest memperoleh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Performa sekitar 0,76 merepresentasikan skenario awal yang hanya menggunakan informasi sampai hari ke-28. Horizon ini menyediakan waktu intervensi lebih panjang sekaligus membatasi jumlah bukti perilaku yang tersedia bagi model.</w:t>
      </w:r>
    </w:p>
    <w:p>
      <w:pPr>
        <w:spacing w:before="0" w:after="20" w:line="240" w:lineRule="auto"/>
        <w:ind w:firstLine="259"/>
        <w:jc w:val="both"/>
      </w:pPr>
      <w:r>
        <w:rPr>
          <w:rFonts w:ascii="Times New Roman" w:hAnsi="Times New Roman"/>
          <w:b w:val="0"/>
          <w:i w:val="0"/>
          <w:color w:val="000000"/>
          <w:sz w:val="20"/>
        </w:rPr>
        <w:t>Threshold assessment sebesar nol menunjukkan bahwa sebagian module-presentation belum memiliki submission sampai minggu keempat. Pengembangan berikutnya dapat menggunakan threshold per module-presentation atau menyesuaikan cut-off dengan jadwal assessment. Knowledge layer memperluas recall sebesar 0,0653 poin dan menghasilkan alasan operasional seperti aktivitas VLE rendah atau assessment yang belum dikerjakan. Alasan tersebut menjadi bahan verifikasi bersama informasi kontekstual dari dosen dan tutor.</w:t>
      </w:r>
    </w:p>
    <w:p>
      <w:pPr>
        <w:spacing w:before="0" w:after="20" w:line="240" w:lineRule="auto"/>
        <w:ind w:firstLine="259"/>
        <w:jc w:val="both"/>
      </w:pPr>
      <w:r>
        <w:rPr>
          <w:rFonts w:ascii="Times New Roman" w:hAnsi="Times New Roman"/>
          <w:b w:val="0"/>
          <w:i w:val="0"/>
          <w:color w:val="000000"/>
          <w:sz w:val="20"/>
        </w:rPr>
        <w:t>Dashboard memperluas fungsi model menjadi Business Intelligence melalui agregasi risiko, perbandingan module-presentation, dan antrean mahasiswa. Temuan 100% prioritas pada GGG 2014J menjadi sinyal untuk meninjau ukuran kelompok, jadwal assessment, serta karakteristik modul sebelum menentukan tindakan.</w:t>
      </w:r>
    </w:p>
    <w:p>
      <w:pPr>
        <w:spacing w:before="0" w:after="20" w:line="240" w:lineRule="auto"/>
        <w:ind w:firstLine="259"/>
        <w:jc w:val="both"/>
      </w:pPr>
      <w:r>
        <w:rPr>
          <w:rFonts w:ascii="Times New Roman" w:hAnsi="Times New Roman"/>
          <w:b w:val="0"/>
          <w:i w:val="0"/>
          <w:color w:val="000000"/>
          <w:sz w:val="20"/>
        </w:rPr>
        <w:t>Keterbatasan penelitian mencakup konteks OULAD di Open University Inggris, fitur perilaku yang masih berupa agregat, konfigurasi model baseline, dan threshold kuartil yang memerlukan validasi pakar. Evaluasi mengukur performa deteksi, sedangkan dampak intervensi terhadap keberhasilan mata kuliah memerlukan penelitian lanjutan dengan data institusi dan desain evaluasi intervensi.</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Penelitian ini mengembangkan early warning risiko ketidakberhasilan mahasiswa dalam mata kuliah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2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2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2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keberhasilan mahasiswa menyelesaikan mata kuliah.</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Ketidakberhasilan Mahasiswa dalam Mata Kuliah pada Minggu Keempat Menggunakan Supervised Learning dan Knowledge-Based Risk Layer pada Open University Learning Analytics Dataset</dc:title>
  <dc:subject>Early warning of unsuccessful course outcomes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dc:language>id-ID</dc:language>
</cp:coreProperties>
</file>