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B2110" w14:textId="675D687A" w:rsidR="000B6339" w:rsidRPr="001D63C2" w:rsidRDefault="00E67611" w:rsidP="003E45EC">
      <w:pPr>
        <w:jc w:val="center"/>
        <w:rPr>
          <w:b/>
        </w:rPr>
      </w:pPr>
      <w:r w:rsidRPr="001D63C2">
        <w:rPr>
          <w:b/>
        </w:rPr>
        <w:t>Dot Probe</w:t>
      </w:r>
    </w:p>
    <w:p w14:paraId="7F00122A" w14:textId="77777777" w:rsidR="003E45EC" w:rsidRPr="001D63C2" w:rsidRDefault="003E45EC">
      <w:pPr>
        <w:rPr>
          <w:b/>
        </w:rPr>
      </w:pPr>
      <w:r w:rsidRPr="001D63C2">
        <w:rPr>
          <w:b/>
        </w:rPr>
        <w:t>Methods</w:t>
      </w:r>
    </w:p>
    <w:p w14:paraId="40C5CDAB" w14:textId="77777777" w:rsidR="001D5C25" w:rsidRPr="001D63C2" w:rsidRDefault="00371E16" w:rsidP="00F16FBC">
      <w:pPr>
        <w:ind w:firstLine="720"/>
        <w:rPr>
          <w:b/>
        </w:rPr>
      </w:pPr>
      <w:r w:rsidRPr="001D63C2">
        <w:rPr>
          <w:b/>
        </w:rPr>
        <w:t>A</w:t>
      </w:r>
      <w:r w:rsidR="001D5C25" w:rsidRPr="001D63C2">
        <w:rPr>
          <w:b/>
        </w:rPr>
        <w:t>pparatus</w:t>
      </w:r>
    </w:p>
    <w:p w14:paraId="37888A1E" w14:textId="20728997" w:rsidR="00F549DD" w:rsidRPr="001D63C2" w:rsidRDefault="001D5C25" w:rsidP="00F549DD">
      <w:pPr>
        <w:spacing w:after="0" w:line="480" w:lineRule="auto"/>
        <w:ind w:firstLine="720"/>
      </w:pPr>
      <w:r w:rsidRPr="001D63C2">
        <w:t xml:space="preserve">Eye position and pupil size were measured by a video-based </w:t>
      </w:r>
      <w:r w:rsidR="008A4ADE" w:rsidRPr="001D63C2">
        <w:t>eye</w:t>
      </w:r>
      <w:r w:rsidR="00F16FBC" w:rsidRPr="001D63C2">
        <w:t>-</w:t>
      </w:r>
      <w:r w:rsidR="008A4ADE" w:rsidRPr="001D63C2">
        <w:t>tracker</w:t>
      </w:r>
      <w:r w:rsidRPr="001D63C2">
        <w:t xml:space="preserve"> (</w:t>
      </w:r>
      <w:r w:rsidR="0098594E" w:rsidRPr="001D63C2">
        <w:t>EyeLink 1000 Plus Desktop Mount</w:t>
      </w:r>
      <w:r w:rsidRPr="001D63C2">
        <w:t>; SR Research, Osgoode, ON,Canada) at a rate of 500 Hz</w:t>
      </w:r>
      <w:r w:rsidR="0098594E" w:rsidRPr="001D63C2">
        <w:t>.</w:t>
      </w:r>
      <w:r w:rsidR="00EE07EF" w:rsidRPr="001D63C2">
        <w:t xml:space="preserve"> </w:t>
      </w:r>
      <w:r w:rsidR="00F14596" w:rsidRPr="001D63C2">
        <w:t xml:space="preserve">Pupil </w:t>
      </w:r>
      <w:r w:rsidR="00560E23" w:rsidRPr="001D63C2">
        <w:t>area</w:t>
      </w:r>
      <w:r w:rsidR="00F14596" w:rsidRPr="001D63C2">
        <w:t xml:space="preserve"> was assessed in a centroïd pupil-tracking mode with a monocular setup (25-mm lens, 500 Hz</w:t>
      </w:r>
      <w:r w:rsidR="009B2A33" w:rsidRPr="001D63C2">
        <w:t xml:space="preserve"> sampling</w:t>
      </w:r>
      <w:r w:rsidR="00F14596" w:rsidRPr="001D63C2">
        <w:t xml:space="preserve">), using participants </w:t>
      </w:r>
      <w:r w:rsidR="00437109" w:rsidRPr="001D63C2">
        <w:t xml:space="preserve">dominant eye. </w:t>
      </w:r>
      <w:r w:rsidR="007D3EB2" w:rsidRPr="001D63C2">
        <w:t>Stimulus presen</w:t>
      </w:r>
      <w:r w:rsidRPr="001D63C2">
        <w:t xml:space="preserve">tation and data acquisition were controlled by </w:t>
      </w:r>
      <w:r w:rsidR="009B2A33" w:rsidRPr="001D63C2">
        <w:t>E-Prime</w:t>
      </w:r>
      <w:r w:rsidR="007D3EB2" w:rsidRPr="001D63C2">
        <w:t xml:space="preserve"> (Psychology Software Tools, Pittsburgh, PA)</w:t>
      </w:r>
      <w:r w:rsidR="009B2A33" w:rsidRPr="001D63C2">
        <w:t xml:space="preserve"> and Eyelink software respectively</w:t>
      </w:r>
      <w:r w:rsidR="007D3EB2" w:rsidRPr="001D63C2">
        <w:t>.</w:t>
      </w:r>
      <w:r w:rsidR="00EE07EF" w:rsidRPr="001D63C2">
        <w:t xml:space="preserve"> </w:t>
      </w:r>
      <w:r w:rsidRPr="001D63C2">
        <w:t xml:space="preserve">Stimuli were presented on a </w:t>
      </w:r>
      <w:r w:rsidR="008A4ADE" w:rsidRPr="001D63C2">
        <w:t>23.6-inch CRT monitor (</w:t>
      </w:r>
      <w:r w:rsidR="00EE07EF" w:rsidRPr="001D63C2">
        <w:t xml:space="preserve">ViewPixx; </w:t>
      </w:r>
      <w:r w:rsidR="008A4ADE" w:rsidRPr="001D63C2">
        <w:t xml:space="preserve">VPixx Technologies, Quebec, Canada), </w:t>
      </w:r>
      <w:r w:rsidRPr="001D63C2">
        <w:t xml:space="preserve">at a </w:t>
      </w:r>
      <w:r w:rsidR="008A4ADE" w:rsidRPr="001D63C2">
        <w:t>screen</w:t>
      </w:r>
      <w:r w:rsidRPr="001D63C2">
        <w:t xml:space="preserve"> resolution of </w:t>
      </w:r>
      <w:r w:rsidR="008A4ADE" w:rsidRPr="001D63C2">
        <w:t>1920x1080</w:t>
      </w:r>
      <w:r w:rsidRPr="001D63C2">
        <w:t xml:space="preserve"> pixels </w:t>
      </w:r>
      <w:r w:rsidR="008A4ADE" w:rsidRPr="001D63C2">
        <w:t>(</w:t>
      </w:r>
      <w:r w:rsidR="00815D21" w:rsidRPr="001D63C2">
        <w:t>120</w:t>
      </w:r>
      <w:r w:rsidRPr="001D63C2">
        <w:t xml:space="preserve"> Hz</w:t>
      </w:r>
      <w:r w:rsidR="00EE07EF" w:rsidRPr="001D63C2">
        <w:t xml:space="preserve"> refresh rate</w:t>
      </w:r>
      <w:r w:rsidR="008E02BB" w:rsidRPr="001D63C2">
        <w:t>).</w:t>
      </w:r>
      <w:r w:rsidR="00EE07EF" w:rsidRPr="001D63C2">
        <w:t xml:space="preserve"> </w:t>
      </w:r>
      <w:r w:rsidR="003E45EC" w:rsidRPr="001D63C2">
        <w:t>Responses were recorded using a Logitech F310 Gamepad (Logitech, Romanel-sur-Morges, Switzerland)</w:t>
      </w:r>
      <w:r w:rsidR="00EE07EF" w:rsidRPr="001D63C2">
        <w:t xml:space="preserve">. </w:t>
      </w:r>
    </w:p>
    <w:p w14:paraId="26F92DAE" w14:textId="77777777" w:rsidR="00F549DD" w:rsidRPr="001D63C2" w:rsidRDefault="00B07487" w:rsidP="00476DCB">
      <w:pPr>
        <w:spacing w:after="0" w:line="480" w:lineRule="auto"/>
        <w:ind w:firstLine="720"/>
      </w:pPr>
      <w:r w:rsidRPr="001D63C2">
        <w:rPr>
          <w:b/>
        </w:rPr>
        <w:t>S</w:t>
      </w:r>
      <w:r w:rsidR="00BE183D" w:rsidRPr="001D63C2">
        <w:rPr>
          <w:b/>
        </w:rPr>
        <w:t>timuli</w:t>
      </w:r>
    </w:p>
    <w:p w14:paraId="3AF68FEE" w14:textId="1EDFCC4F" w:rsidR="0053774B" w:rsidRPr="001D63C2" w:rsidRDefault="00EB4BE8" w:rsidP="00476DCB">
      <w:pPr>
        <w:spacing w:after="0" w:line="480" w:lineRule="auto"/>
        <w:ind w:firstLine="720"/>
      </w:pPr>
      <w:r w:rsidRPr="001D63C2">
        <w:t>S</w:t>
      </w:r>
      <w:r w:rsidR="008A1D0B" w:rsidRPr="001D63C2">
        <w:t>timuli</w:t>
      </w:r>
      <w:r w:rsidR="00E51996" w:rsidRPr="001D63C2">
        <w:t xml:space="preserve"> </w:t>
      </w:r>
      <w:r w:rsidRPr="001D63C2">
        <w:t xml:space="preserve">consisted of images </w:t>
      </w:r>
      <w:r w:rsidR="003E2C90" w:rsidRPr="001D63C2">
        <w:t xml:space="preserve">of </w:t>
      </w:r>
      <w:r w:rsidR="00146136" w:rsidRPr="001D63C2">
        <w:t>happy</w:t>
      </w:r>
      <w:r w:rsidR="00B93E60" w:rsidRPr="001D63C2">
        <w:t xml:space="preserve"> (12)</w:t>
      </w:r>
      <w:r w:rsidR="00146136" w:rsidRPr="001D63C2">
        <w:t>, sad</w:t>
      </w:r>
      <w:r w:rsidR="00B93E60" w:rsidRPr="001D63C2">
        <w:t xml:space="preserve"> (12)</w:t>
      </w:r>
      <w:r w:rsidR="00146136" w:rsidRPr="001D63C2">
        <w:t xml:space="preserve">, and neutral </w:t>
      </w:r>
      <w:r w:rsidR="00B93E60" w:rsidRPr="001D63C2">
        <w:t xml:space="preserve">(24) </w:t>
      </w:r>
      <w:r w:rsidR="00146136" w:rsidRPr="001D63C2">
        <w:t xml:space="preserve">facial expressions </w:t>
      </w:r>
      <w:r w:rsidR="00E51996" w:rsidRPr="001D63C2">
        <w:t xml:space="preserve">from the </w:t>
      </w:r>
      <w:r w:rsidR="00B45E9F" w:rsidRPr="001D63C2">
        <w:t>Karol</w:t>
      </w:r>
      <w:r w:rsidR="00C41D70" w:rsidRPr="001D63C2">
        <w:t>inska Directed Emotional Faces</w:t>
      </w:r>
      <w:r w:rsidR="00E51996" w:rsidRPr="001D63C2">
        <w:t xml:space="preserve"> </w:t>
      </w:r>
      <w:r w:rsidR="00C41D70" w:rsidRPr="001D63C2">
        <w:t>database</w:t>
      </w:r>
      <w:r w:rsidR="00E51996" w:rsidRPr="001D63C2">
        <w:t xml:space="preserve"> (</w:t>
      </w:r>
      <w:r w:rsidR="00C41D70" w:rsidRPr="001D63C2">
        <w:t>KDEF</w:t>
      </w:r>
      <w:r w:rsidR="00B93E60" w:rsidRPr="001D63C2">
        <w:t xml:space="preserve">; </w:t>
      </w:r>
      <w:r w:rsidR="00F16FBC" w:rsidRPr="001D63C2">
        <w:t>(Lundqvist, Flykt, &amp; Öhman</w:t>
      </w:r>
      <w:r w:rsidR="00B93E60" w:rsidRPr="001D63C2">
        <w:t>,</w:t>
      </w:r>
      <w:r w:rsidR="00E51996" w:rsidRPr="001D63C2">
        <w:t xml:space="preserve"> </w:t>
      </w:r>
      <w:r w:rsidR="00B93E60" w:rsidRPr="001D63C2">
        <w:t>1998)</w:t>
      </w:r>
      <w:r w:rsidR="00C41D70" w:rsidRPr="001D63C2">
        <w:t>.</w:t>
      </w:r>
      <w:r w:rsidR="00F16FBC" w:rsidRPr="001D63C2">
        <w:t xml:space="preserve"> </w:t>
      </w:r>
      <w:r w:rsidR="008A1D0B" w:rsidRPr="001D63C2">
        <w:t>Each emotional face was paired with the neutral expression of the same actor</w:t>
      </w:r>
      <w:r w:rsidR="008D5ED4" w:rsidRPr="001D63C2">
        <w:t>.</w:t>
      </w:r>
      <w:r w:rsidR="00C900C8" w:rsidRPr="001D63C2">
        <w:t xml:space="preserve"> </w:t>
      </w:r>
      <w:r w:rsidR="007977A1" w:rsidRPr="001D63C2">
        <w:t>Stimuli</w:t>
      </w:r>
      <w:r w:rsidR="003F040A" w:rsidRPr="001D63C2">
        <w:t xml:space="preserve"> (</w:t>
      </w:r>
      <w:r w:rsidR="002F3BB6" w:rsidRPr="001D63C2">
        <w:t xml:space="preserve">subtending </w:t>
      </w:r>
      <w:r w:rsidR="001B1477" w:rsidRPr="001D63C2">
        <w:t>2</w:t>
      </w:r>
      <w:r w:rsidR="007977A1" w:rsidRPr="001D63C2">
        <w:t>°</w:t>
      </w:r>
      <w:r w:rsidR="001B1477" w:rsidRPr="001D63C2">
        <w:t xml:space="preserve"> </w:t>
      </w:r>
      <w:r w:rsidR="003F040A" w:rsidRPr="001D63C2">
        <w:t xml:space="preserve">by </w:t>
      </w:r>
      <w:r w:rsidR="007977A1" w:rsidRPr="001D63C2">
        <w:t>4°</w:t>
      </w:r>
      <w:r w:rsidR="003F040A" w:rsidRPr="001D63C2">
        <w:t xml:space="preserve"> visual angle) were</w:t>
      </w:r>
      <w:r w:rsidR="00B34FBD" w:rsidRPr="001D63C2">
        <w:t xml:space="preserve"> presented to the left and right sides of the </w:t>
      </w:r>
      <w:r w:rsidR="003F040A" w:rsidRPr="001D63C2">
        <w:t>visual field</w:t>
      </w:r>
      <w:r w:rsidR="008D5ED4" w:rsidRPr="001D63C2">
        <w:t xml:space="preserve"> against a grey background (RGB: 110,110,110)</w:t>
      </w:r>
      <w:r w:rsidR="003F040A" w:rsidRPr="001D63C2">
        <w:t xml:space="preserve">, with an </w:t>
      </w:r>
      <w:r w:rsidR="00C900C8" w:rsidRPr="001D63C2">
        <w:t xml:space="preserve">center-to-center distance </w:t>
      </w:r>
      <w:r w:rsidR="003F040A" w:rsidRPr="001D63C2">
        <w:t xml:space="preserve">of </w:t>
      </w:r>
      <w:r w:rsidR="008D5ED4" w:rsidRPr="001D63C2">
        <w:t>480</w:t>
      </w:r>
      <w:r w:rsidR="003F040A" w:rsidRPr="001D63C2">
        <w:t xml:space="preserve"> pixels (</w:t>
      </w:r>
      <w:r w:rsidR="007977A1" w:rsidRPr="001D63C2">
        <w:t>5°</w:t>
      </w:r>
      <w:r w:rsidR="003F040A" w:rsidRPr="001D63C2">
        <w:t xml:space="preserve"> by </w:t>
      </w:r>
      <w:r w:rsidR="007977A1" w:rsidRPr="001D63C2">
        <w:t>4°</w:t>
      </w:r>
      <w:r w:rsidR="003F040A" w:rsidRPr="001D63C2">
        <w:t xml:space="preserve"> visual angle).</w:t>
      </w:r>
      <w:r w:rsidR="00C900C8" w:rsidRPr="001D63C2">
        <w:t xml:space="preserve"> </w:t>
      </w:r>
      <w:r w:rsidR="003F040A" w:rsidRPr="001D63C2">
        <w:t>Location and presentation of the stimulus pair varied randomly</w:t>
      </w:r>
      <w:r w:rsidR="00141B1A" w:rsidRPr="001D63C2">
        <w:t xml:space="preserve"> throughout the task. Stimul</w:t>
      </w:r>
      <w:r w:rsidR="00476DCB" w:rsidRPr="001D63C2">
        <w:t>us</w:t>
      </w:r>
      <w:r w:rsidR="00141B1A" w:rsidRPr="001D63C2">
        <w:t xml:space="preserve">-pairs were </w:t>
      </w:r>
      <w:r w:rsidR="008E385D" w:rsidRPr="001D63C2">
        <w:t xml:space="preserve">randomly presented </w:t>
      </w:r>
      <w:r w:rsidR="00F16FBC" w:rsidRPr="001D63C2">
        <w:t>four</w:t>
      </w:r>
      <w:r w:rsidR="008E385D" w:rsidRPr="001D63C2">
        <w:t xml:space="preserve"> times</w:t>
      </w:r>
      <w:r w:rsidR="00DA3CF9" w:rsidRPr="001D63C2">
        <w:t xml:space="preserve"> </w:t>
      </w:r>
      <w:r w:rsidR="00141B1A" w:rsidRPr="001D63C2">
        <w:t xml:space="preserve">within each block to counterbalance </w:t>
      </w:r>
      <w:r w:rsidR="008B66E9" w:rsidRPr="001D63C2">
        <w:t>their</w:t>
      </w:r>
      <w:r w:rsidR="00141B1A" w:rsidRPr="001D63C2">
        <w:t xml:space="preserve"> location</w:t>
      </w:r>
      <w:r w:rsidR="003A7CAD" w:rsidRPr="001D63C2">
        <w:t>.</w:t>
      </w:r>
      <w:r w:rsidR="00141B1A" w:rsidRPr="001D63C2">
        <w:t xml:space="preserve"> </w:t>
      </w:r>
      <w:r w:rsidR="002F3BB6" w:rsidRPr="001D63C2">
        <w:t>To minimize variation of luminance throughout the task, s</w:t>
      </w:r>
      <w:r w:rsidR="0053774B" w:rsidRPr="001D63C2">
        <w:t xml:space="preserve">timuli background </w:t>
      </w:r>
      <w:r w:rsidR="002F3BB6" w:rsidRPr="001D63C2">
        <w:t xml:space="preserve">were removed and </w:t>
      </w:r>
      <w:r w:rsidR="0053774B" w:rsidRPr="001D63C2">
        <w:t>replaced to match background</w:t>
      </w:r>
      <w:r w:rsidR="002F3BB6" w:rsidRPr="001D63C2">
        <w:t xml:space="preserve"> color</w:t>
      </w:r>
      <w:r w:rsidR="001B1477" w:rsidRPr="001D63C2">
        <w:t>.</w:t>
      </w:r>
      <w:r w:rsidR="002F3BB6" w:rsidRPr="001D63C2">
        <w:t xml:space="preserve"> </w:t>
      </w:r>
      <w:r w:rsidR="001B1477" w:rsidRPr="001D63C2">
        <w:t>Stimuli</w:t>
      </w:r>
      <w:r w:rsidR="0053774B" w:rsidRPr="001D63C2">
        <w:t xml:space="preserve"> </w:t>
      </w:r>
      <w:r w:rsidR="001B1477" w:rsidRPr="001D63C2">
        <w:t>did not vary in terms of luminance (12.0 cd/m2).</w:t>
      </w:r>
    </w:p>
    <w:p w14:paraId="7EDD57CD" w14:textId="757089D5" w:rsidR="00B07487" w:rsidRPr="001D63C2" w:rsidRDefault="00B07487" w:rsidP="00F16FBC">
      <w:pPr>
        <w:spacing w:after="0" w:line="480" w:lineRule="auto"/>
        <w:ind w:firstLine="720"/>
      </w:pPr>
      <w:r w:rsidRPr="001D63C2">
        <w:rPr>
          <w:b/>
        </w:rPr>
        <w:t>Procedure</w:t>
      </w:r>
    </w:p>
    <w:p w14:paraId="0C7E424C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Participants were seated in a dark room and the experiment con-</w:t>
      </w:r>
    </w:p>
    <w:p w14:paraId="62C20399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sisted of 210 trials lasting approximately 40 min (Fig. 1A). Each</w:t>
      </w:r>
    </w:p>
    <w:p w14:paraId="4810E1F1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trial began with the appearance of a central ﬁxation point (FP) (0.6°</w:t>
      </w:r>
    </w:p>
    <w:p w14:paraId="4AB8C0D4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diameter; 6 cd/m</w:t>
      </w:r>
    </w:p>
    <w:p w14:paraId="2CCA5C89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2</w:t>
      </w:r>
    </w:p>
    <w:p w14:paraId="6A4CAD3D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) on a gray background (11 cd/m</w:t>
      </w:r>
    </w:p>
    <w:p w14:paraId="1A9EE337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2</w:t>
      </w:r>
    </w:p>
    <w:p w14:paraId="5C7F7797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). After 1–1.4 s</w:t>
      </w:r>
    </w:p>
    <w:p w14:paraId="211BC80E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of central ﬁxation, a peripheral visual stimulus (0.6° diameter) was</w:t>
      </w:r>
    </w:p>
    <w:p w14:paraId="41D67FA7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presented for 100 ms to the left or right of the FP (8° eccentricity</w:t>
      </w:r>
    </w:p>
    <w:p w14:paraId="5CEBF6D8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on the horizontal axis) on a subset of trials (90 trials) and partici-</w:t>
      </w:r>
    </w:p>
    <w:p w14:paraId="636999C1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pants were required to maintain steady ﬁxation for an additional</w:t>
      </w:r>
    </w:p>
    <w:p w14:paraId="653C606C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 xml:space="preserve">2–2.5 s (Fix condition, Fig. 1A). </w:t>
      </w:r>
    </w:p>
    <w:p w14:paraId="584BEADF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Participants were seated in a dark room and the experiment con-</w:t>
      </w:r>
    </w:p>
    <w:p w14:paraId="737E4C78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sisted of 210 trials lasting approximately 40 min (Fig. 1A). Each</w:t>
      </w:r>
    </w:p>
    <w:p w14:paraId="4F48812B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trial began with the appearance of a central ﬁxation point (FP) (0.6°</w:t>
      </w:r>
    </w:p>
    <w:p w14:paraId="2B9025EA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diameter; 6 cd/m</w:t>
      </w:r>
    </w:p>
    <w:p w14:paraId="540B4CEF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2</w:t>
      </w:r>
    </w:p>
    <w:p w14:paraId="50935F3D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) on a gray background (11 cd/m</w:t>
      </w:r>
    </w:p>
    <w:p w14:paraId="40B98F03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2</w:t>
      </w:r>
    </w:p>
    <w:p w14:paraId="29B0367D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). After 1–1.4 s</w:t>
      </w:r>
    </w:p>
    <w:p w14:paraId="68272F6D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of central ﬁxation, a peripheral visual stimulus (0.6° diameter) was</w:t>
      </w:r>
    </w:p>
    <w:p w14:paraId="42535685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presented for 100 ms to the left or right of the FP (8° eccentricity</w:t>
      </w:r>
    </w:p>
    <w:p w14:paraId="122AF1B4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on the horizontal axis) on a subset of trials (90 trials) and partici-</w:t>
      </w:r>
    </w:p>
    <w:p w14:paraId="14874183" w14:textId="77777777" w:rsidR="00815D21" w:rsidRPr="001D63C2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>pants were required to maintain steady ﬁxation for an additional</w:t>
      </w:r>
    </w:p>
    <w:p w14:paraId="5537240A" w14:textId="78E3E1E7" w:rsidR="001C53BA" w:rsidRPr="001D63C2" w:rsidRDefault="00815D21" w:rsidP="00AF777B">
      <w:pPr>
        <w:shd w:val="clear" w:color="auto" w:fill="FFFFFF"/>
        <w:spacing w:after="0" w:line="0" w:lineRule="auto"/>
        <w:rPr>
          <w:rFonts w:eastAsia="Times New Roman" w:cs="Times New Roman"/>
        </w:rPr>
      </w:pPr>
      <w:r w:rsidRPr="001D63C2">
        <w:rPr>
          <w:rFonts w:eastAsia="Times New Roman" w:cs="Times New Roman"/>
        </w:rPr>
        <w:t xml:space="preserve">2–2.5 s (Fix condition, Fig. </w:t>
      </w:r>
      <w:r w:rsidR="00C759F7" w:rsidRPr="001D63C2">
        <w:rPr>
          <w:rFonts w:eastAsia="Times New Roman" w:cs="Times New Roman"/>
        </w:rPr>
        <w:t>1A</w:t>
      </w:r>
      <w:r w:rsidRPr="001D63C2">
        <w:t xml:space="preserve">Participants were seated in a dark room and the experiment con-sisted of 210 trials lasting approximately 40 min (Fig. 1A). </w:t>
      </w:r>
    </w:p>
    <w:p w14:paraId="083455AF" w14:textId="4BD00457" w:rsidR="00955A21" w:rsidRPr="00102079" w:rsidRDefault="00B06E83" w:rsidP="00A442CD">
      <w:pPr>
        <w:spacing w:after="0" w:line="480" w:lineRule="auto"/>
        <w:ind w:firstLine="720"/>
      </w:pPr>
      <w:r w:rsidRPr="001D63C2">
        <w:t xml:space="preserve">The experiment consisted of 192 trials (96 trials x 2 blocks) lasting approximately 20 min (Fig. 1). </w:t>
      </w:r>
      <w:r w:rsidR="00945BB7" w:rsidRPr="001D63C2">
        <w:t>Participants were seated</w:t>
      </w:r>
      <w:r w:rsidR="002F3BB6" w:rsidRPr="001D63C2">
        <w:t xml:space="preserve"> in an illuminated room (12.0 cd/m2),</w:t>
      </w:r>
      <w:r w:rsidR="00945BB7" w:rsidRPr="001D63C2">
        <w:t xml:space="preserve"> </w:t>
      </w:r>
      <w:r w:rsidR="00422B37" w:rsidRPr="001D63C2">
        <w:t xml:space="preserve">60 cm from the computer screen. </w:t>
      </w:r>
      <w:r w:rsidR="008D3673" w:rsidRPr="001D63C2">
        <w:t>Ocular dominance was</w:t>
      </w:r>
      <w:r w:rsidR="00502A33" w:rsidRPr="001D63C2">
        <w:t xml:space="preserve"> then</w:t>
      </w:r>
      <w:r w:rsidR="008D3673" w:rsidRPr="001D63C2">
        <w:t xml:space="preserve"> determined by using </w:t>
      </w:r>
      <w:r w:rsidR="00215FAF" w:rsidRPr="001D63C2">
        <w:t xml:space="preserve">a modified version of </w:t>
      </w:r>
      <w:r w:rsidR="008D3673" w:rsidRPr="001D63C2">
        <w:t xml:space="preserve">the near-far alignment test (Miles, </w:t>
      </w:r>
      <w:r w:rsidR="008D3673" w:rsidRPr="001D63C2">
        <w:lastRenderedPageBreak/>
        <w:t>1930).</w:t>
      </w:r>
      <w:r w:rsidR="004E59E8" w:rsidRPr="001D63C2">
        <w:t xml:space="preserve"> </w:t>
      </w:r>
      <w:r w:rsidR="00476DCB" w:rsidRPr="001D63C2">
        <w:t>Before the task, a</w:t>
      </w:r>
      <w:r w:rsidR="00415BD7" w:rsidRPr="001D63C2">
        <w:t xml:space="preserve"> thirteen-point calibration routine used to map eye position to screen coordinates. </w:t>
      </w:r>
      <w:r w:rsidR="00786327" w:rsidRPr="001D63C2">
        <w:t>Calibration was accepted only once there was an overall difference of less than 0.5</w:t>
      </w:r>
      <w:r w:rsidR="008D3673" w:rsidRPr="001D63C2">
        <w:t xml:space="preserve">° </w:t>
      </w:r>
      <w:r w:rsidR="00786327" w:rsidRPr="001D63C2">
        <w:t>between the initial calibration and a validation retest</w:t>
      </w:r>
      <w:r w:rsidR="00F828FE" w:rsidRPr="001D63C2">
        <w:t>.</w:t>
      </w:r>
      <w:r w:rsidR="004E59E8" w:rsidRPr="001D63C2">
        <w:t xml:space="preserve"> </w:t>
      </w:r>
      <w:r w:rsidR="0077523C" w:rsidRPr="001D63C2">
        <w:t xml:space="preserve">After completing calibration, participants were informed that the task would soon begin and all instructions would be presented on the </w:t>
      </w:r>
      <w:r w:rsidR="00476DCB" w:rsidRPr="001D63C2">
        <w:t>monitor</w:t>
      </w:r>
      <w:r w:rsidR="0077523C" w:rsidRPr="001D63C2">
        <w:t>.</w:t>
      </w:r>
      <w:r w:rsidR="004E59E8" w:rsidRPr="001D63C2">
        <w:t xml:space="preserve"> </w:t>
      </w:r>
      <w:r w:rsidR="0077523C" w:rsidRPr="001D63C2">
        <w:t>Participants were instructed to view the images naturally, as if they were watching a slideshow.</w:t>
      </w:r>
      <w:r w:rsidR="004E59E8" w:rsidRPr="001D63C2">
        <w:t xml:space="preserve"> </w:t>
      </w:r>
      <w:r w:rsidR="0077523C" w:rsidRPr="001D63C2">
        <w:t>Further, they were also instructed to look at the fixation cross prior to each trial in order to standardize the s</w:t>
      </w:r>
      <w:r w:rsidR="00F16FBC" w:rsidRPr="001D63C2">
        <w:t>tarting location of their gaze.</w:t>
      </w:r>
      <w:r w:rsidR="00141B1A" w:rsidRPr="001D63C2">
        <w:t xml:space="preserve"> </w:t>
      </w:r>
      <w:r w:rsidR="00F16FBC" w:rsidRPr="001D63C2">
        <w:t xml:space="preserve"> </w:t>
      </w:r>
      <w:r w:rsidR="00826A58" w:rsidRPr="001D63C2">
        <w:t>At the start of each block a</w:t>
      </w:r>
      <w:r w:rsidR="006F5E4B">
        <w:t>n</w:t>
      </w:r>
      <w:r w:rsidR="00826A58" w:rsidRPr="001D63C2">
        <w:t xml:space="preserve"> </w:t>
      </w:r>
      <w:r w:rsidR="006F5E4B">
        <w:t>online</w:t>
      </w:r>
      <w:r w:rsidR="00826A58" w:rsidRPr="001D63C2">
        <w:t xml:space="preserve"> single-point </w:t>
      </w:r>
      <w:r w:rsidR="00A031BB" w:rsidRPr="001D63C2">
        <w:t>drift correction</w:t>
      </w:r>
      <w:r w:rsidR="00EE5E10">
        <w:t xml:space="preserve"> were conducted</w:t>
      </w:r>
      <w:r w:rsidR="00826A58" w:rsidRPr="001D63C2">
        <w:t>.</w:t>
      </w:r>
      <w:r w:rsidR="00A031BB" w:rsidRPr="001D63C2">
        <w:t xml:space="preserve"> </w:t>
      </w:r>
      <w:r w:rsidR="00476DCB" w:rsidRPr="001D63C2">
        <w:t xml:space="preserve">The task began with a series of 20 practice trials, using KDEF images </w:t>
      </w:r>
      <w:r w:rsidR="00A442CD">
        <w:t xml:space="preserve">not included with test stimuli. </w:t>
      </w:r>
      <w:r w:rsidR="006F5E4B" w:rsidRPr="006F5E4B">
        <w:t>Each trial began with the appearance of a central ﬁxation cross (FC</w:t>
      </w:r>
      <w:r w:rsidR="006F5E4B">
        <w:t>).</w:t>
      </w:r>
      <w:r w:rsidR="00A442CD">
        <w:t xml:space="preserve"> </w:t>
      </w:r>
      <w:r w:rsidR="006F5E4B" w:rsidRPr="006F5E4B">
        <w:t>Participants were required to maintain gaze of central ﬁxation (subtending 2° by 2° visual angle), for</w:t>
      </w:r>
      <w:r w:rsidR="00A442CD">
        <w:t xml:space="preserve"> a duration window of 500 msec before continuing. </w:t>
      </w:r>
      <w:r w:rsidR="006F5E4B" w:rsidRPr="006F5E4B">
        <w:t xml:space="preserve">If central fixation was not detected within 2000 msec, online </w:t>
      </w:r>
      <w:r w:rsidR="00EE5E10">
        <w:t xml:space="preserve">single-point </w:t>
      </w:r>
      <w:r w:rsidR="006F5E4B" w:rsidRPr="006F5E4B">
        <w:t>drift correction procedures were conducted.</w:t>
      </w:r>
      <w:r w:rsidR="006F5E4B">
        <w:t xml:space="preserve"> </w:t>
      </w:r>
      <w:r w:rsidR="00A442CD">
        <w:t xml:space="preserve"> </w:t>
      </w:r>
      <w:r w:rsidR="00A442CD" w:rsidRPr="00A442CD">
        <w:t xml:space="preserve">Immediately following </w:t>
      </w:r>
      <w:r w:rsidR="002E65F5">
        <w:t>drift correction</w:t>
      </w:r>
      <w:bookmarkStart w:id="0" w:name="_GoBack"/>
      <w:bookmarkEnd w:id="0"/>
      <w:r w:rsidR="00A442CD" w:rsidRPr="00A442CD">
        <w:t>,</w:t>
      </w:r>
      <w:r w:rsidR="00A442CD">
        <w:t xml:space="preserve"> stimulus-pair appeared </w:t>
      </w:r>
      <w:r w:rsidR="00E51996" w:rsidRPr="001D63C2">
        <w:t xml:space="preserve">for </w:t>
      </w:r>
      <w:r w:rsidR="00102079" w:rsidRPr="001D63C2">
        <w:t xml:space="preserve">1000 </w:t>
      </w:r>
      <w:r w:rsidR="00774886" w:rsidRPr="001D63C2">
        <w:t>msec</w:t>
      </w:r>
      <w:r w:rsidR="00B34FBD" w:rsidRPr="001D63C2">
        <w:t xml:space="preserve">. </w:t>
      </w:r>
      <w:r w:rsidR="00E51996" w:rsidRPr="001D63C2">
        <w:t>Following stimulu</w:t>
      </w:r>
      <w:r w:rsidR="00661EC2" w:rsidRPr="001D63C2">
        <w:t xml:space="preserve">s offset, </w:t>
      </w:r>
      <w:r w:rsidR="00102079" w:rsidRPr="001D63C2">
        <w:t>a probe appeared</w:t>
      </w:r>
      <w:r w:rsidR="00754457" w:rsidRPr="001D63C2">
        <w:t xml:space="preserve"> </w:t>
      </w:r>
      <w:r w:rsidR="00153A5C" w:rsidRPr="001D63C2">
        <w:t>(the letter “Q” or “O”</w:t>
      </w:r>
      <w:r w:rsidR="00944B0F" w:rsidRPr="001D63C2">
        <w:t>)</w:t>
      </w:r>
      <w:r w:rsidR="00243D85" w:rsidRPr="001D63C2">
        <w:t xml:space="preserve"> </w:t>
      </w:r>
      <w:r w:rsidR="00754457" w:rsidRPr="001D63C2">
        <w:t xml:space="preserve">in </w:t>
      </w:r>
      <w:r w:rsidR="00B93E60" w:rsidRPr="001D63C2">
        <w:t>place of</w:t>
      </w:r>
      <w:r w:rsidR="00102079" w:rsidRPr="001D63C2">
        <w:t xml:space="preserve"> one of the stimuli, </w:t>
      </w:r>
      <w:r w:rsidR="00B93E60" w:rsidRPr="001D63C2">
        <w:t xml:space="preserve">the location </w:t>
      </w:r>
      <w:r w:rsidR="00B45E9F" w:rsidRPr="001D63C2">
        <w:t>randomized with equal frequency.</w:t>
      </w:r>
      <w:r w:rsidR="00E81AE4" w:rsidRPr="001D63C2">
        <w:t xml:space="preserve"> </w:t>
      </w:r>
      <w:r w:rsidR="00141B1A" w:rsidRPr="001D63C2">
        <w:t xml:space="preserve">Participants were </w:t>
      </w:r>
      <w:r w:rsidR="00E81AE4" w:rsidRPr="001D63C2">
        <w:t xml:space="preserve">asked to indicate the location of the probe by pressing </w:t>
      </w:r>
      <w:r w:rsidR="00141B1A" w:rsidRPr="001D63C2">
        <w:t xml:space="preserve">the left </w:t>
      </w:r>
      <w:r w:rsidR="003A7CAD" w:rsidRPr="001D63C2">
        <w:t>trigger</w:t>
      </w:r>
      <w:r w:rsidR="00141B1A" w:rsidRPr="001D63C2">
        <w:t xml:space="preserve"> when seeing “Q”, and the right </w:t>
      </w:r>
      <w:r w:rsidR="003A7CAD" w:rsidRPr="001D63C2">
        <w:t>trigger</w:t>
      </w:r>
      <w:r w:rsidR="00141B1A" w:rsidRPr="001D63C2">
        <w:t xml:space="preserve"> when seeing “O” (reversed for left-handed participants). </w:t>
      </w:r>
      <w:r w:rsidR="00E81AE4" w:rsidRPr="001D63C2">
        <w:t>After their response</w:t>
      </w:r>
      <w:r w:rsidR="00754457" w:rsidRPr="001D63C2">
        <w:t>,</w:t>
      </w:r>
      <w:r w:rsidR="00E81AE4" w:rsidRPr="001D63C2">
        <w:t xml:space="preserve"> the probe disappeared</w:t>
      </w:r>
      <w:r w:rsidR="00F828FE" w:rsidRPr="001D63C2">
        <w:t xml:space="preserve">, before beginning the next </w:t>
      </w:r>
      <w:r w:rsidR="00E74580" w:rsidRPr="001D63C2">
        <w:t>trial</w:t>
      </w:r>
      <w:r w:rsidR="00F828FE" w:rsidRPr="001D63C2">
        <w:t>.</w:t>
      </w:r>
      <w:r w:rsidR="004E59E8" w:rsidRPr="001D63C2">
        <w:t xml:space="preserve"> </w:t>
      </w:r>
      <w:r w:rsidR="00E81AE4" w:rsidRPr="001D63C2">
        <w:t xml:space="preserve">The intertrial interval was 1000 msec. </w:t>
      </w:r>
      <w:r w:rsidR="003E4EE1" w:rsidRPr="001D63C2">
        <w:t xml:space="preserve">The </w:t>
      </w:r>
      <w:r w:rsidR="00102079" w:rsidRPr="001D63C2">
        <w:t>two</w:t>
      </w:r>
      <w:r w:rsidR="003E4EE1" w:rsidRPr="001D63C2">
        <w:t xml:space="preserve"> task blocks were completed sequentially with a </w:t>
      </w:r>
      <w:r w:rsidR="00285606" w:rsidRPr="001D63C2">
        <w:t>self-paced</w:t>
      </w:r>
      <w:r w:rsidR="003E4EE1" w:rsidRPr="001D63C2">
        <w:t xml:space="preserve"> break between them</w:t>
      </w:r>
      <w:r w:rsidR="004E59E8" w:rsidRPr="001D63C2">
        <w:t xml:space="preserve">. </w:t>
      </w:r>
      <w:r w:rsidR="00955A21" w:rsidRPr="006F5E4B">
        <w:rPr>
          <w:b/>
        </w:rPr>
        <w:br w:type="page"/>
      </w:r>
    </w:p>
    <w:p w14:paraId="5767FAA3" w14:textId="13DFB520" w:rsidR="00096445" w:rsidRPr="00C75AED" w:rsidRDefault="00096445" w:rsidP="000E0F59">
      <w:pPr>
        <w:spacing w:after="0" w:line="480" w:lineRule="auto"/>
        <w:contextualSpacing/>
        <w:jc w:val="center"/>
        <w:rPr>
          <w:b/>
        </w:rPr>
      </w:pPr>
      <w:r w:rsidRPr="00C75AED">
        <w:rPr>
          <w:b/>
        </w:rPr>
        <w:lastRenderedPageBreak/>
        <w:t>References</w:t>
      </w:r>
    </w:p>
    <w:p w14:paraId="69424ED3" w14:textId="048B1580" w:rsidR="00BB586C" w:rsidRDefault="00BB586C" w:rsidP="00F549DD">
      <w:pPr>
        <w:spacing w:after="0" w:line="480" w:lineRule="auto"/>
        <w:ind w:left="720" w:hanging="720"/>
        <w:contextualSpacing/>
        <w:rPr>
          <w:color w:val="000000"/>
          <w:shd w:val="clear" w:color="auto" w:fill="FFFFFF"/>
        </w:rPr>
      </w:pPr>
      <w:r w:rsidRPr="00BB586C">
        <w:rPr>
          <w:color w:val="000000"/>
          <w:shd w:val="clear" w:color="auto" w:fill="FFFFFF"/>
        </w:rPr>
        <w:t>Lundqvist</w:t>
      </w:r>
      <w:r w:rsidR="00F16FBC">
        <w:rPr>
          <w:color w:val="000000"/>
          <w:shd w:val="clear" w:color="auto" w:fill="FFFFFF"/>
        </w:rPr>
        <w:t>,</w:t>
      </w:r>
      <w:r w:rsidRPr="00BB586C">
        <w:rPr>
          <w:color w:val="000000"/>
          <w:shd w:val="clear" w:color="auto" w:fill="FFFFFF"/>
        </w:rPr>
        <w:t xml:space="preserve"> D</w:t>
      </w:r>
      <w:r w:rsidR="00F16FBC">
        <w:rPr>
          <w:color w:val="000000"/>
          <w:shd w:val="clear" w:color="auto" w:fill="FFFFFF"/>
        </w:rPr>
        <w:t>.</w:t>
      </w:r>
      <w:r w:rsidRPr="00BB586C">
        <w:rPr>
          <w:color w:val="000000"/>
          <w:shd w:val="clear" w:color="auto" w:fill="FFFFFF"/>
        </w:rPr>
        <w:t>, Flykt</w:t>
      </w:r>
      <w:r w:rsidR="00F16FBC">
        <w:rPr>
          <w:color w:val="000000"/>
          <w:shd w:val="clear" w:color="auto" w:fill="FFFFFF"/>
        </w:rPr>
        <w:t>,</w:t>
      </w:r>
      <w:r w:rsidRPr="00BB586C">
        <w:rPr>
          <w:color w:val="000000"/>
          <w:shd w:val="clear" w:color="auto" w:fill="FFFFFF"/>
        </w:rPr>
        <w:t xml:space="preserve"> A</w:t>
      </w:r>
      <w:r w:rsidR="00F16FBC">
        <w:rPr>
          <w:color w:val="000000"/>
          <w:shd w:val="clear" w:color="auto" w:fill="FFFFFF"/>
        </w:rPr>
        <w:t>.</w:t>
      </w:r>
      <w:r w:rsidRPr="00BB586C">
        <w:rPr>
          <w:color w:val="000000"/>
          <w:shd w:val="clear" w:color="auto" w:fill="FFFFFF"/>
        </w:rPr>
        <w:t>, Öhman</w:t>
      </w:r>
      <w:r w:rsidR="00F16FBC">
        <w:rPr>
          <w:color w:val="000000"/>
          <w:shd w:val="clear" w:color="auto" w:fill="FFFFFF"/>
        </w:rPr>
        <w:t>,</w:t>
      </w:r>
      <w:r w:rsidRPr="00BB586C">
        <w:rPr>
          <w:color w:val="000000"/>
          <w:shd w:val="clear" w:color="auto" w:fill="FFFFFF"/>
        </w:rPr>
        <w:t xml:space="preserve"> A</w:t>
      </w:r>
      <w:r w:rsidR="00F16FBC">
        <w:rPr>
          <w:color w:val="000000"/>
          <w:shd w:val="clear" w:color="auto" w:fill="FFFFFF"/>
        </w:rPr>
        <w:t>.</w:t>
      </w:r>
      <w:r w:rsidRPr="00BB586C">
        <w:rPr>
          <w:color w:val="000000"/>
          <w:shd w:val="clear" w:color="auto" w:fill="FFFFFF"/>
        </w:rPr>
        <w:t xml:space="preserve"> (1998)</w:t>
      </w:r>
      <w:r w:rsidR="00F16FBC">
        <w:rPr>
          <w:color w:val="000000"/>
          <w:shd w:val="clear" w:color="auto" w:fill="FFFFFF"/>
        </w:rPr>
        <w:t>.</w:t>
      </w:r>
      <w:r w:rsidRPr="00BB586C">
        <w:rPr>
          <w:color w:val="000000"/>
          <w:shd w:val="clear" w:color="auto" w:fill="FFFFFF"/>
        </w:rPr>
        <w:t xml:space="preserve"> The Karolinska Directed Emotional Faces – KDEF. CD ROM from Department of Clinical Neuroscience, Psychology section, Karolinska Institutet Stockholm. ISBN 91–630–7164–9.</w:t>
      </w:r>
    </w:p>
    <w:p w14:paraId="6EE6542F" w14:textId="10B6FFE2" w:rsidR="00144145" w:rsidRPr="001D63C2" w:rsidRDefault="00096445" w:rsidP="001D63C2">
      <w:pPr>
        <w:spacing w:after="0" w:line="480" w:lineRule="auto"/>
        <w:ind w:left="720" w:hanging="720"/>
        <w:contextualSpacing/>
        <w:rPr>
          <w:color w:val="000000"/>
          <w:shd w:val="clear" w:color="auto" w:fill="FFFFFF"/>
        </w:rPr>
      </w:pPr>
      <w:r w:rsidRPr="00C75AED">
        <w:rPr>
          <w:color w:val="000000"/>
          <w:shd w:val="clear" w:color="auto" w:fill="FFFFFF"/>
        </w:rPr>
        <w:t>Miles, W. (1930). Ocular dominance in human adults.</w:t>
      </w:r>
      <w:r w:rsidRPr="00C75AED">
        <w:rPr>
          <w:rStyle w:val="apple-converted-space"/>
          <w:color w:val="000000"/>
          <w:shd w:val="clear" w:color="auto" w:fill="FFFFFF"/>
        </w:rPr>
        <w:t> </w:t>
      </w:r>
      <w:r w:rsidRPr="00C75AED">
        <w:rPr>
          <w:rStyle w:val="Emphasis"/>
          <w:i w:val="0"/>
          <w:color w:val="000000"/>
          <w:shd w:val="clear" w:color="auto" w:fill="FFFFFF"/>
        </w:rPr>
        <w:t>Journal of General Psychology</w:t>
      </w:r>
      <w:r w:rsidRPr="00C75AED">
        <w:rPr>
          <w:rStyle w:val="ref-journal"/>
          <w:i/>
          <w:color w:val="000000"/>
          <w:shd w:val="clear" w:color="auto" w:fill="FFFFFF"/>
        </w:rPr>
        <w:t>.</w:t>
      </w:r>
      <w:r w:rsidRPr="00C75AED">
        <w:rPr>
          <w:rStyle w:val="apple-converted-space"/>
          <w:color w:val="000000"/>
          <w:shd w:val="clear" w:color="auto" w:fill="FFFFFF"/>
        </w:rPr>
        <w:t> </w:t>
      </w:r>
      <w:r w:rsidRPr="00C75AED">
        <w:rPr>
          <w:rStyle w:val="ref-vol"/>
          <w:color w:val="000000"/>
          <w:shd w:val="clear" w:color="auto" w:fill="FFFFFF"/>
        </w:rPr>
        <w:t>3</w:t>
      </w:r>
      <w:r w:rsidR="00213C3B" w:rsidRPr="00C75AED">
        <w:rPr>
          <w:rStyle w:val="ref-vol"/>
          <w:color w:val="000000"/>
          <w:shd w:val="clear" w:color="auto" w:fill="FFFFFF"/>
        </w:rPr>
        <w:t>(3)</w:t>
      </w:r>
      <w:r w:rsidRPr="00C75AED">
        <w:rPr>
          <w:color w:val="000000"/>
          <w:shd w:val="clear" w:color="auto" w:fill="FFFFFF"/>
        </w:rPr>
        <w:t>412–420.</w:t>
      </w:r>
      <w:r w:rsidR="00213C3B" w:rsidRPr="00C75AED">
        <w:rPr>
          <w:color w:val="000000"/>
          <w:shd w:val="clear" w:color="auto" w:fill="FFFFFF"/>
        </w:rPr>
        <w:t xml:space="preserve"> doi: 10.1080/00221309.1930.99182180022-1309</w:t>
      </w:r>
    </w:p>
    <w:p w14:paraId="15388E9B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The experiment consisted of two sessions of approximately 2 h</w:t>
      </w:r>
    </w:p>
    <w:p w14:paraId="35C389C8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duration each, and subjects completed a total of 44 9 3-min runs</w:t>
      </w:r>
    </w:p>
    <w:p w14:paraId="29897D59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(MIB: 6; Replay: 38). Subjects completed 16 low-, 16 medium- and</w:t>
      </w:r>
    </w:p>
    <w:p w14:paraId="1A9A81F2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6 high-surprise Replay runs. Different numbers of runs per hazard</w:t>
      </w:r>
    </w:p>
    <w:p w14:paraId="3477E6C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function were used to obtain a similar number of trials for each of</w:t>
      </w:r>
    </w:p>
    <w:p w14:paraId="76DC125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the three conditions (the high-surprise condition yielded more trials</w:t>
      </w:r>
    </w:p>
    <w:p w14:paraId="73B77A99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per unit time). Subjects performed the MIB and high-surprise</w:t>
      </w:r>
    </w:p>
    <w:p w14:paraId="60E74361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Replay conditions in one session, and the medium- and low-surprise</w:t>
      </w:r>
    </w:p>
    <w:p w14:paraId="2310CD9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Replay conditions in the other session. The two types of runs in</w:t>
      </w:r>
    </w:p>
    <w:p w14:paraId="56AAC15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each session were presented within two separate blocks to allow</w:t>
      </w:r>
    </w:p>
    <w:p w14:paraId="6FC6F626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subjects to learn the event distributions of each condition as much</w:t>
      </w:r>
    </w:p>
    <w:p w14:paraId="3EDDF2B6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as possible. The order of blocks within a session and the order of</w:t>
      </w:r>
    </w:p>
    <w:p w14:paraId="63B500F7" w14:textId="77777777" w:rsidR="00B07487" w:rsidRPr="00C75AED" w:rsidRDefault="001D5C25" w:rsidP="00BE183D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sessions were counterbalanced across </w:t>
      </w:r>
      <w:r w:rsidR="00BE183D" w:rsidRPr="00C75AED">
        <w:rPr>
          <w:rFonts w:eastAsia="Times New Roman" w:cs="Times New Roman"/>
          <w:color w:val="231F20"/>
        </w:rPr>
        <w:t>subject</w:t>
      </w:r>
    </w:p>
    <w:sectPr w:rsidR="00B07487" w:rsidRPr="00C7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2739"/>
    <w:multiLevelType w:val="hybridMultilevel"/>
    <w:tmpl w:val="F1B0B068"/>
    <w:lvl w:ilvl="0" w:tplc="EFFC4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311A"/>
    <w:multiLevelType w:val="hybridMultilevel"/>
    <w:tmpl w:val="41920436"/>
    <w:lvl w:ilvl="0" w:tplc="A99662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7094"/>
    <w:multiLevelType w:val="hybridMultilevel"/>
    <w:tmpl w:val="70FA96EC"/>
    <w:lvl w:ilvl="0" w:tplc="2C588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06415"/>
    <w:multiLevelType w:val="hybridMultilevel"/>
    <w:tmpl w:val="B9906D34"/>
    <w:lvl w:ilvl="0" w:tplc="18DE5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EF3"/>
    <w:multiLevelType w:val="hybridMultilevel"/>
    <w:tmpl w:val="8BBC1F46"/>
    <w:lvl w:ilvl="0" w:tplc="CCF0C5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346D2"/>
    <w:multiLevelType w:val="hybridMultilevel"/>
    <w:tmpl w:val="3A2AD332"/>
    <w:lvl w:ilvl="0" w:tplc="21344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A4AA8"/>
    <w:multiLevelType w:val="hybridMultilevel"/>
    <w:tmpl w:val="066A8792"/>
    <w:lvl w:ilvl="0" w:tplc="59DCB7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E438C"/>
    <w:multiLevelType w:val="hybridMultilevel"/>
    <w:tmpl w:val="5AB2C7FE"/>
    <w:lvl w:ilvl="0" w:tplc="2500B7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56D35"/>
    <w:multiLevelType w:val="hybridMultilevel"/>
    <w:tmpl w:val="498AA696"/>
    <w:lvl w:ilvl="0" w:tplc="BF76BD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A6AF1"/>
    <w:multiLevelType w:val="hybridMultilevel"/>
    <w:tmpl w:val="966AF7B2"/>
    <w:lvl w:ilvl="0" w:tplc="F7587F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473F7"/>
    <w:multiLevelType w:val="hybridMultilevel"/>
    <w:tmpl w:val="D4F41E8E"/>
    <w:lvl w:ilvl="0" w:tplc="FF587B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26A67"/>
    <w:multiLevelType w:val="hybridMultilevel"/>
    <w:tmpl w:val="A7CCAC2A"/>
    <w:lvl w:ilvl="0" w:tplc="388CAA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390AAC"/>
    <w:multiLevelType w:val="hybridMultilevel"/>
    <w:tmpl w:val="DEA4ECE2"/>
    <w:lvl w:ilvl="0" w:tplc="A6EAE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84"/>
    <w:rsid w:val="000078CB"/>
    <w:rsid w:val="00054D1C"/>
    <w:rsid w:val="00096445"/>
    <w:rsid w:val="000B2B88"/>
    <w:rsid w:val="000B6339"/>
    <w:rsid w:val="000C63B1"/>
    <w:rsid w:val="000E0F59"/>
    <w:rsid w:val="00100BF1"/>
    <w:rsid w:val="00102079"/>
    <w:rsid w:val="00113D17"/>
    <w:rsid w:val="0011529D"/>
    <w:rsid w:val="0012726E"/>
    <w:rsid w:val="00141B1A"/>
    <w:rsid w:val="00144145"/>
    <w:rsid w:val="00146136"/>
    <w:rsid w:val="00153A5C"/>
    <w:rsid w:val="001641EA"/>
    <w:rsid w:val="001A059D"/>
    <w:rsid w:val="001B1477"/>
    <w:rsid w:val="001C0394"/>
    <w:rsid w:val="001C53BA"/>
    <w:rsid w:val="001D5C25"/>
    <w:rsid w:val="001D63C2"/>
    <w:rsid w:val="002127DB"/>
    <w:rsid w:val="00213C3B"/>
    <w:rsid w:val="00215FAF"/>
    <w:rsid w:val="00231052"/>
    <w:rsid w:val="00243D85"/>
    <w:rsid w:val="00245048"/>
    <w:rsid w:val="00285606"/>
    <w:rsid w:val="00286250"/>
    <w:rsid w:val="00290674"/>
    <w:rsid w:val="00290B4E"/>
    <w:rsid w:val="0029699D"/>
    <w:rsid w:val="002B52B1"/>
    <w:rsid w:val="002C5351"/>
    <w:rsid w:val="002E65F5"/>
    <w:rsid w:val="002F3BB6"/>
    <w:rsid w:val="003107D5"/>
    <w:rsid w:val="0035604D"/>
    <w:rsid w:val="00371E16"/>
    <w:rsid w:val="003813DE"/>
    <w:rsid w:val="00392A11"/>
    <w:rsid w:val="003A3569"/>
    <w:rsid w:val="003A4425"/>
    <w:rsid w:val="003A7CAD"/>
    <w:rsid w:val="003C62A9"/>
    <w:rsid w:val="003C7E49"/>
    <w:rsid w:val="003E2C90"/>
    <w:rsid w:val="003E45EC"/>
    <w:rsid w:val="003E48C2"/>
    <w:rsid w:val="003E4EE1"/>
    <w:rsid w:val="003F040A"/>
    <w:rsid w:val="00404AC0"/>
    <w:rsid w:val="0041119A"/>
    <w:rsid w:val="00415BD7"/>
    <w:rsid w:val="00422B37"/>
    <w:rsid w:val="00437109"/>
    <w:rsid w:val="00437B38"/>
    <w:rsid w:val="004532E4"/>
    <w:rsid w:val="004704CC"/>
    <w:rsid w:val="00470F1D"/>
    <w:rsid w:val="00476DCB"/>
    <w:rsid w:val="004A0BED"/>
    <w:rsid w:val="004D196A"/>
    <w:rsid w:val="004E59E8"/>
    <w:rsid w:val="004F24D2"/>
    <w:rsid w:val="00502A33"/>
    <w:rsid w:val="0053774B"/>
    <w:rsid w:val="00560E23"/>
    <w:rsid w:val="00574556"/>
    <w:rsid w:val="0059284A"/>
    <w:rsid w:val="005D3A87"/>
    <w:rsid w:val="0060127D"/>
    <w:rsid w:val="00606BE4"/>
    <w:rsid w:val="00626277"/>
    <w:rsid w:val="00661EC2"/>
    <w:rsid w:val="006F5E4B"/>
    <w:rsid w:val="00734DA2"/>
    <w:rsid w:val="0074281B"/>
    <w:rsid w:val="00752B18"/>
    <w:rsid w:val="00754457"/>
    <w:rsid w:val="00774886"/>
    <w:rsid w:val="0077523C"/>
    <w:rsid w:val="00786327"/>
    <w:rsid w:val="007977A1"/>
    <w:rsid w:val="007D3EB2"/>
    <w:rsid w:val="007E0F59"/>
    <w:rsid w:val="00815D21"/>
    <w:rsid w:val="00826A58"/>
    <w:rsid w:val="00836592"/>
    <w:rsid w:val="00847B3D"/>
    <w:rsid w:val="008A1D0B"/>
    <w:rsid w:val="008A4ADE"/>
    <w:rsid w:val="008B66E9"/>
    <w:rsid w:val="008D2B4A"/>
    <w:rsid w:val="008D3673"/>
    <w:rsid w:val="008D5ED4"/>
    <w:rsid w:val="008E02BB"/>
    <w:rsid w:val="008E385D"/>
    <w:rsid w:val="00931D81"/>
    <w:rsid w:val="00944AF5"/>
    <w:rsid w:val="00944B0F"/>
    <w:rsid w:val="00945BB7"/>
    <w:rsid w:val="00955A21"/>
    <w:rsid w:val="0098594E"/>
    <w:rsid w:val="009B2A33"/>
    <w:rsid w:val="009C7839"/>
    <w:rsid w:val="009E3CF8"/>
    <w:rsid w:val="00A031BB"/>
    <w:rsid w:val="00A442CD"/>
    <w:rsid w:val="00A96CF1"/>
    <w:rsid w:val="00AA47CA"/>
    <w:rsid w:val="00AF777B"/>
    <w:rsid w:val="00B055D5"/>
    <w:rsid w:val="00B06E83"/>
    <w:rsid w:val="00B07487"/>
    <w:rsid w:val="00B32CB9"/>
    <w:rsid w:val="00B34FBD"/>
    <w:rsid w:val="00B45E9F"/>
    <w:rsid w:val="00B70A56"/>
    <w:rsid w:val="00B86A59"/>
    <w:rsid w:val="00B93E60"/>
    <w:rsid w:val="00BB586C"/>
    <w:rsid w:val="00BE183D"/>
    <w:rsid w:val="00C002EA"/>
    <w:rsid w:val="00C41D70"/>
    <w:rsid w:val="00C52484"/>
    <w:rsid w:val="00C660B7"/>
    <w:rsid w:val="00C759F7"/>
    <w:rsid w:val="00C75AED"/>
    <w:rsid w:val="00C900C8"/>
    <w:rsid w:val="00CA42FD"/>
    <w:rsid w:val="00CC553E"/>
    <w:rsid w:val="00CF00A7"/>
    <w:rsid w:val="00CF6EA3"/>
    <w:rsid w:val="00D02FA1"/>
    <w:rsid w:val="00D224D0"/>
    <w:rsid w:val="00D22608"/>
    <w:rsid w:val="00D57EEF"/>
    <w:rsid w:val="00D630DF"/>
    <w:rsid w:val="00D820D3"/>
    <w:rsid w:val="00DA3CF9"/>
    <w:rsid w:val="00DC10E6"/>
    <w:rsid w:val="00DE398C"/>
    <w:rsid w:val="00E436BA"/>
    <w:rsid w:val="00E51996"/>
    <w:rsid w:val="00E67611"/>
    <w:rsid w:val="00E74580"/>
    <w:rsid w:val="00E81AE4"/>
    <w:rsid w:val="00E83A21"/>
    <w:rsid w:val="00E84F48"/>
    <w:rsid w:val="00E87084"/>
    <w:rsid w:val="00E913A4"/>
    <w:rsid w:val="00EA5C57"/>
    <w:rsid w:val="00EB4BE8"/>
    <w:rsid w:val="00EB5A60"/>
    <w:rsid w:val="00EE07EF"/>
    <w:rsid w:val="00EE5E10"/>
    <w:rsid w:val="00F14596"/>
    <w:rsid w:val="00F16FBC"/>
    <w:rsid w:val="00F26FB5"/>
    <w:rsid w:val="00F31B71"/>
    <w:rsid w:val="00F43AC3"/>
    <w:rsid w:val="00F466FC"/>
    <w:rsid w:val="00F549DD"/>
    <w:rsid w:val="00F57C52"/>
    <w:rsid w:val="00F828FE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D225"/>
  <w15:chartTrackingRefBased/>
  <w15:docId w15:val="{6DC254FB-5665-48FE-A7E4-B905B452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-selection">
    <w:name w:val="current-selection"/>
    <w:basedOn w:val="DefaultParagraphFont"/>
    <w:rsid w:val="001D5C25"/>
  </w:style>
  <w:style w:type="character" w:customStyle="1" w:styleId="a">
    <w:name w:val="_"/>
    <w:basedOn w:val="DefaultParagraphFont"/>
    <w:rsid w:val="001D5C25"/>
  </w:style>
  <w:style w:type="paragraph" w:styleId="ListParagraph">
    <w:name w:val="List Paragraph"/>
    <w:basedOn w:val="Normal"/>
    <w:uiPriority w:val="34"/>
    <w:qFormat/>
    <w:rsid w:val="001D5C25"/>
    <w:pPr>
      <w:ind w:left="720"/>
      <w:contextualSpacing/>
    </w:pPr>
  </w:style>
  <w:style w:type="character" w:customStyle="1" w:styleId="ff5">
    <w:name w:val="ff5"/>
    <w:basedOn w:val="DefaultParagraphFont"/>
    <w:rsid w:val="00815D21"/>
  </w:style>
  <w:style w:type="character" w:customStyle="1" w:styleId="ff8">
    <w:name w:val="ff8"/>
    <w:basedOn w:val="DefaultParagraphFont"/>
    <w:rsid w:val="00815D21"/>
  </w:style>
  <w:style w:type="character" w:customStyle="1" w:styleId="ff7">
    <w:name w:val="ff7"/>
    <w:basedOn w:val="DefaultParagraphFont"/>
    <w:rsid w:val="00815D21"/>
  </w:style>
  <w:style w:type="character" w:styleId="CommentReference">
    <w:name w:val="annotation reference"/>
    <w:basedOn w:val="DefaultParagraphFont"/>
    <w:uiPriority w:val="99"/>
    <w:semiHidden/>
    <w:unhideWhenUsed/>
    <w:rsid w:val="00F14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9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96445"/>
  </w:style>
  <w:style w:type="character" w:customStyle="1" w:styleId="ref-journal">
    <w:name w:val="ref-journal"/>
    <w:basedOn w:val="DefaultParagraphFont"/>
    <w:rsid w:val="00096445"/>
  </w:style>
  <w:style w:type="character" w:styleId="Emphasis">
    <w:name w:val="Emphasis"/>
    <w:basedOn w:val="DefaultParagraphFont"/>
    <w:uiPriority w:val="20"/>
    <w:qFormat/>
    <w:rsid w:val="00096445"/>
    <w:rPr>
      <w:i/>
      <w:iCs/>
    </w:rPr>
  </w:style>
  <w:style w:type="character" w:customStyle="1" w:styleId="ref-vol">
    <w:name w:val="ref-vol"/>
    <w:basedOn w:val="DefaultParagraphFont"/>
    <w:rsid w:val="00096445"/>
  </w:style>
  <w:style w:type="character" w:styleId="PlaceholderText">
    <w:name w:val="Placeholder Text"/>
    <w:basedOn w:val="DefaultParagraphFont"/>
    <w:uiPriority w:val="99"/>
    <w:semiHidden/>
    <w:rsid w:val="00113D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6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F4365-BBD3-4994-BCB9-87A37742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Mesfin, Semeon R</dc:creator>
  <cp:keywords/>
  <dc:description/>
  <cp:lastModifiedBy>Mesfin, Semeon R</cp:lastModifiedBy>
  <cp:revision>46</cp:revision>
  <dcterms:created xsi:type="dcterms:W3CDTF">2016-03-08T20:11:00Z</dcterms:created>
  <dcterms:modified xsi:type="dcterms:W3CDTF">2016-04-06T15:58:00Z</dcterms:modified>
</cp:coreProperties>
</file>