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Matrix decomposition: Understanding Eigendecomposition - A Fundamental Tool in Linear Algebra</w:t>
      </w:r>
    </w:p>
    <w:p>
      <w:pPr>
        <w:pStyle w:val="Author"/>
      </w:pPr>
      <w:r>
        <w:t xml:space="preserve">Rafiq Islam</w:t>
      </w:r>
    </w:p>
    <w:p>
      <w:pPr>
        <w:pStyle w:val="Date"/>
      </w:pPr>
      <w:r>
        <w:t xml:space="preserve">2025-08-09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In many areas of data science, machine learning, and applied mathematics,</w:t>
      </w:r>
      <w:r>
        <w:t xml:space="preserve"> </w:t>
      </w:r>
      <w:r>
        <w:rPr>
          <w:b/>
          <w:bCs/>
        </w:rPr>
        <w:t xml:space="preserve">eigendecomposition</w:t>
      </w:r>
      <w:r>
        <w:t xml:space="preserve"> </w:t>
      </w:r>
      <w:r>
        <w:t xml:space="preserve">is a core technique for understanding and transforming data. Whether you’re working with dimensionality reduction (like PCA), solving systems of differential equations, or analyzing graph structures, chances are you’ll run into eigenvalues and eigenvectors.</w:t>
      </w:r>
    </w:p>
    <w:p>
      <w:r>
        <w:pict>
          <v:rect style="width:0;height:1.5pt" o:hralign="center" o:hrstd="t" o:hr="t"/>
        </w:pict>
      </w:r>
    </w:p>
    <w:bookmarkStart w:id="20" w:name="what-is-eigendecomposition"/>
    <w:p>
      <w:pPr>
        <w:pStyle w:val="Heading3"/>
      </w:pPr>
      <w:r>
        <w:t xml:space="preserve">What Is Eigendecomposition?</w:t>
      </w:r>
    </w:p>
    <w:p>
      <w:pPr>
        <w:pStyle w:val="FirstParagraph"/>
      </w:pPr>
      <w:r>
        <w:t xml:space="preserve">Eigendecomposition is a way of</w:t>
      </w:r>
      <w:r>
        <w:t xml:space="preserve"> </w:t>
      </w:r>
      <w:r>
        <w:rPr>
          <w:b/>
          <w:bCs/>
        </w:rPr>
        <w:t xml:space="preserve">breaking down</w:t>
      </w:r>
      <w:r>
        <w:t xml:space="preserve"> </w:t>
      </w:r>
      <w:r>
        <w:t xml:space="preserve">a square matrix into a set of simpler components based on its</w:t>
      </w:r>
      <w:r>
        <w:t xml:space="preserve"> </w:t>
      </w:r>
      <w:r>
        <w:rPr>
          <w:b/>
          <w:bCs/>
        </w:rPr>
        <w:t xml:space="preserve">eigenvalues</w:t>
      </w:r>
      <w:r>
        <w:t xml:space="preserve"> </w:t>
      </w:r>
      <w:r>
        <w:t xml:space="preserve">and</w:t>
      </w:r>
      <w:r>
        <w:t xml:space="preserve"> </w:t>
      </w:r>
      <w:r>
        <w:rPr>
          <w:b/>
          <w:bCs/>
        </w:rPr>
        <w:t xml:space="preserve">eigenvectors</w:t>
      </w:r>
      <w:r>
        <w:t xml:space="preserve">.</w:t>
      </w:r>
    </w:p>
    <w:p>
      <w:pPr>
        <w:pStyle w:val="BodyText"/>
      </w:pPr>
      <w:r>
        <w:t xml:space="preserve">For a given square matrix</w:t>
      </w:r>
      <w:r>
        <w:t xml:space="preserve"> </w:t>
      </w:r>
      <m:oMath>
        <m:r>
          <m:t>A</m:t>
        </m:r>
      </m:oMath>
      <w:r>
        <w:t xml:space="preserve">, if we can find a basis of eigenvectors, then</w:t>
      </w:r>
      <w:r>
        <w:t xml:space="preserve"> </w:t>
      </w:r>
      <m:oMath>
        <m:r>
          <m:t>A</m:t>
        </m:r>
      </m:oMath>
      <w:r>
        <w:t xml:space="preserve"> </w:t>
      </w:r>
      <w:r>
        <w:t xml:space="preserve">can be expressed as:</w:t>
      </w:r>
    </w:p>
    <w:p>
      <w:pPr>
        <w:pStyle w:val="BodyText"/>
      </w:pPr>
      <m:oMathPara>
        <m:oMathParaPr>
          <m:jc m:val="center"/>
        </m:oMathParaPr>
        <m:oMath>
          <m:r>
            <m:t>A</m:t>
          </m:r>
          <m:r>
            <m:rPr>
              <m:sty m:val="p"/>
            </m:rPr>
            <m:t>=</m:t>
          </m:r>
          <m:r>
            <m:t>Q</m:t>
          </m:r>
          <m:r>
            <m:t>Λ</m:t>
          </m:r>
          <m:sSup>
            <m:e>
              <m:r>
                <m:t>Q</m:t>
              </m:r>
            </m:e>
            <m:sup>
              <m:r>
                <m:rPr>
                  <m:sty m:val="p"/>
                </m:rPr>
                <m:t>−</m:t>
              </m:r>
              <m:r>
                <m:t>1</m:t>
              </m:r>
            </m:sup>
          </m:sSup>
        </m:oMath>
      </m:oMathPara>
    </w:p>
    <w:p>
      <w:pPr>
        <w:pStyle w:val="FirstParagraph"/>
      </w:pPr>
      <w:r>
        <w:t xml:space="preserve">Where:</w:t>
      </w:r>
    </w:p>
    <w:p>
      <w:pPr>
        <w:pStyle w:val="Compact"/>
        <w:numPr>
          <w:ilvl w:val="0"/>
          <w:numId w:val="1001"/>
        </w:numPr>
      </w:pPr>
      <m:oMath>
        <m:r>
          <m:t>Q</m:t>
        </m:r>
      </m:oMath>
      <w:r>
        <w:t xml:space="preserve"> </w:t>
      </w:r>
      <w:r>
        <w:t xml:space="preserve">is a matrix whose columns are the eigenvectors of</w:t>
      </w:r>
      <w:r>
        <w:t xml:space="preserve"> </w:t>
      </w:r>
      <m:oMath>
        <m:r>
          <m:t>A</m:t>
        </m:r>
      </m:oMath>
      <w:r>
        <w:t xml:space="preserve">.</w:t>
      </w:r>
    </w:p>
    <w:p>
      <w:pPr>
        <w:pStyle w:val="Compact"/>
        <w:numPr>
          <w:ilvl w:val="0"/>
          <w:numId w:val="1001"/>
        </w:numPr>
      </w:pPr>
      <m:oMath>
        <m:r>
          <m:t>Λ</m:t>
        </m:r>
      </m:oMath>
      <w:r>
        <w:t xml:space="preserve"> </w:t>
      </w:r>
      <w:r>
        <w:t xml:space="preserve">(capital lambda) is a</w:t>
      </w:r>
      <w:r>
        <w:t xml:space="preserve"> </w:t>
      </w:r>
      <w:r>
        <w:rPr>
          <w:b/>
          <w:bCs/>
        </w:rPr>
        <w:t xml:space="preserve">diagonal matrix</w:t>
      </w:r>
      <w:r>
        <w:t xml:space="preserve"> </w:t>
      </w:r>
      <w:r>
        <w:t xml:space="preserve">containing the eigenvalues of</w:t>
      </w:r>
      <w:r>
        <w:t xml:space="preserve"> </w:t>
      </w:r>
      <m:oMath>
        <m:r>
          <m:t>A</m:t>
        </m:r>
      </m:oMath>
      <w:r>
        <w:t xml:space="preserve"> </w:t>
      </w:r>
      <w:r>
        <w:t xml:space="preserve">along its diagonal.</w:t>
      </w:r>
    </w:p>
    <w:p>
      <w:pPr>
        <w:pStyle w:val="Compact"/>
        <w:numPr>
          <w:ilvl w:val="0"/>
          <w:numId w:val="1001"/>
        </w:numPr>
      </w:pPr>
      <m:oMath>
        <m:sSup>
          <m:e>
            <m:r>
              <m:t>Q</m:t>
            </m:r>
          </m:e>
          <m:sup>
            <m:r>
              <m:rPr>
                <m:sty m:val="p"/>
              </m:rPr>
              <m:t>−</m:t>
            </m:r>
            <m:r>
              <m:t>1</m:t>
            </m:r>
          </m:sup>
        </m:sSup>
      </m:oMath>
      <w:r>
        <w:t xml:space="preserve"> </w:t>
      </w:r>
      <w:r>
        <w:t xml:space="preserve">is the inverse of</w:t>
      </w:r>
      <w:r>
        <w:t xml:space="preserve"> </w:t>
      </w:r>
      <m:oMath>
        <m:r>
          <m:t>Q</m:t>
        </m:r>
      </m:oMath>
      <w:r>
        <w:t xml:space="preserve">.</w:t>
      </w:r>
    </w:p>
    <w:p>
      <w:pPr>
        <w:pStyle w:val="FirstParagraph"/>
      </w:pPr>
      <w:r>
        <w:t xml:space="preserve">This is essentially rewriting</w:t>
      </w:r>
      <w:r>
        <w:t xml:space="preserve"> </w:t>
      </w:r>
      <m:oMath>
        <m:r>
          <m:t>A</m:t>
        </m:r>
      </m:oMath>
      <w:r>
        <w:t xml:space="preserve"> </w:t>
      </w:r>
      <w:r>
        <w:t xml:space="preserve">as a combination of</w:t>
      </w:r>
      <w:r>
        <w:t xml:space="preserve"> </w:t>
      </w:r>
      <w:r>
        <w:rPr>
          <w:b/>
          <w:bCs/>
        </w:rPr>
        <w:t xml:space="preserve">scaling operations</w:t>
      </w:r>
      <w:r>
        <w:t xml:space="preserve"> </w:t>
      </w:r>
      <w:r>
        <w:t xml:space="preserve">along special directions (the eigenvectors).</w:t>
      </w:r>
    </w:p>
    <w:bookmarkEnd w:id="20"/>
    <w:bookmarkStart w:id="21" w:name="eigenvalues-and-eigenvectors-recap"/>
    <w:p>
      <w:pPr>
        <w:pStyle w:val="Heading3"/>
      </w:pPr>
      <w:r>
        <w:t xml:space="preserve">Eigenvalues and Eigenvectors Recap</w:t>
      </w:r>
    </w:p>
    <w:p>
      <w:pPr>
        <w:pStyle w:val="FirstParagraph"/>
      </w:pPr>
      <w:r>
        <w:t xml:space="preserve">Before decomposition, we need to understand the building blocks:</w:t>
      </w:r>
    </w:p>
    <w:p>
      <w:pPr>
        <w:pStyle w:val="BodyText"/>
      </w:pPr>
      <w:r>
        <w:t xml:space="preserve">Given a square matrix</w:t>
      </w:r>
      <w:r>
        <w:t xml:space="preserve"> </w:t>
      </w:r>
      <m:oMath>
        <m:r>
          <m:t>A</m:t>
        </m:r>
      </m:oMath>
      <w:r>
        <w:t xml:space="preserve">, an</w:t>
      </w:r>
      <w:r>
        <w:t xml:space="preserve"> </w:t>
      </w:r>
      <w:r>
        <w:rPr>
          <w:b/>
          <w:bCs/>
        </w:rPr>
        <w:t xml:space="preserve">eigenvector</w:t>
      </w:r>
      <w:r>
        <w:t xml:space="preserve"> </w:t>
      </w:r>
      <m:oMath>
        <m:r>
          <m:rPr>
            <m:sty m:val="b"/>
          </m:rPr>
          <m:t>v</m:t>
        </m:r>
      </m:oMath>
      <w:r>
        <w:t xml:space="preserve"> </w:t>
      </w:r>
      <w:r>
        <w:t xml:space="preserve">and</w:t>
      </w:r>
      <w:r>
        <w:t xml:space="preserve"> </w:t>
      </w:r>
      <w:r>
        <w:rPr>
          <w:b/>
          <w:bCs/>
        </w:rPr>
        <w:t xml:space="preserve">eigenvalue</w:t>
      </w:r>
      <w:r>
        <w:t xml:space="preserve"> </w:t>
      </w:r>
      <m:oMath>
        <m:r>
          <m:t>λ</m:t>
        </m:r>
      </m:oMath>
      <w:r>
        <w:t xml:space="preserve"> </w:t>
      </w:r>
      <w:r>
        <w:t xml:space="preserve">satisfy:</w:t>
      </w:r>
    </w:p>
    <w:p>
      <w:pPr>
        <w:pStyle w:val="BodyText"/>
      </w:pPr>
      <m:oMathPara>
        <m:oMathParaPr>
          <m:jc m:val="center"/>
        </m:oMathParaPr>
        <m:oMath>
          <m:r>
            <m:t>A</m:t>
          </m:r>
          <m:r>
            <m:rPr>
              <m:sty m:val="b"/>
            </m:rPr>
            <m:t>v</m:t>
          </m:r>
          <m:r>
            <m:rPr>
              <m:sty m:val="p"/>
            </m:rPr>
            <m:t>=</m:t>
          </m:r>
          <m:r>
            <m:t>λ</m:t>
          </m:r>
          <m:r>
            <m:rPr>
              <m:sty m:val="b"/>
            </m:rPr>
            <m:t>v</m:t>
          </m:r>
        </m:oMath>
      </m:oMathPara>
    </w:p>
    <w:p>
      <w:pPr>
        <w:pStyle w:val="Compact"/>
        <w:numPr>
          <w:ilvl w:val="0"/>
          <w:numId w:val="1002"/>
        </w:numPr>
      </w:pPr>
      <m:oMath>
        <m:r>
          <m:rPr>
            <m:sty m:val="b"/>
          </m:rPr>
          <m:t>v</m:t>
        </m:r>
      </m:oMath>
      <w:r>
        <w:t xml:space="preserve"> </w:t>
      </w:r>
      <w:r>
        <w:t xml:space="preserve">is a direction in which the transformation</w:t>
      </w:r>
      <w:r>
        <w:t xml:space="preserve"> </w:t>
      </w:r>
      <m:oMath>
        <m:r>
          <m:t>A</m:t>
        </m:r>
      </m:oMath>
      <w:r>
        <w:t xml:space="preserve"> </w:t>
      </w:r>
      <w:r>
        <w:t xml:space="preserve">acts by</w:t>
      </w:r>
      <w:r>
        <w:t xml:space="preserve"> </w:t>
      </w:r>
      <w:r>
        <w:rPr>
          <w:b/>
          <w:bCs/>
        </w:rPr>
        <w:t xml:space="preserve">stretching or compressing</w:t>
      </w:r>
      <w:r>
        <w:t xml:space="preserve"> </w:t>
      </w:r>
      <w:r>
        <w:t xml:space="preserve">without rotating it.</w:t>
      </w:r>
    </w:p>
    <w:p>
      <w:pPr>
        <w:pStyle w:val="Compact"/>
        <w:numPr>
          <w:ilvl w:val="0"/>
          <w:numId w:val="1002"/>
        </w:numPr>
      </w:pPr>
      <m:oMath>
        <m:r>
          <m:t>λ</m:t>
        </m:r>
      </m:oMath>
      <w:r>
        <w:t xml:space="preserve"> </w:t>
      </w:r>
      <w:r>
        <w:t xml:space="preserve">tells us how much</w:t>
      </w:r>
      <w:r>
        <w:t xml:space="preserve"> </w:t>
      </w:r>
      <m:oMath>
        <m:r>
          <m:t>A</m:t>
        </m:r>
      </m:oMath>
      <w:r>
        <w:t xml:space="preserve"> </w:t>
      </w:r>
      <w:r>
        <w:t xml:space="preserve">scales</w:t>
      </w:r>
      <w:r>
        <w:t xml:space="preserve"> </w:t>
      </w:r>
      <m:oMath>
        <m:r>
          <m:rPr>
            <m:sty m:val="b"/>
          </m:rPr>
          <m:t>v</m:t>
        </m:r>
      </m:oMath>
      <w:r>
        <w:t xml:space="preserve">.</w:t>
      </w:r>
    </w:p>
    <w:p>
      <w:pPr>
        <w:pStyle w:val="FirstParagraph"/>
      </w:pPr>
      <w:r>
        <w:t xml:space="preserve">Example:</w:t>
      </w:r>
      <w:r>
        <w:t xml:space="preserve"> </w:t>
      </w:r>
      <w:r>
        <w:t xml:space="preserve">If</w:t>
      </w:r>
      <w:r>
        <w:t xml:space="preserve"> </w:t>
      </w:r>
      <m:oMath>
        <m:r>
          <m:t>A</m:t>
        </m:r>
        <m:r>
          <m:rPr>
            <m:sty m:val="b"/>
          </m:rPr>
          <m:t>v</m:t>
        </m:r>
        <m:r>
          <m:rPr>
            <m:sty m:val="p"/>
          </m:rPr>
          <m:t>=</m:t>
        </m:r>
        <m:r>
          <m:t>3</m:t>
        </m:r>
        <m:r>
          <m:rPr>
            <m:sty m:val="b"/>
          </m:rPr>
          <m:t>v</m:t>
        </m:r>
      </m:oMath>
      <w:r>
        <w:t xml:space="preserve">, then</w:t>
      </w:r>
      <w:r>
        <w:t xml:space="preserve"> </w:t>
      </w:r>
      <m:oMath>
        <m:r>
          <m:rPr>
            <m:sty m:val="b"/>
          </m:rPr>
          <m:t>v</m:t>
        </m:r>
      </m:oMath>
      <w:r>
        <w:t xml:space="preserve"> </w:t>
      </w:r>
      <w:r>
        <w:t xml:space="preserve">is scaled by a factor of 3 under</w:t>
      </w:r>
      <w:r>
        <w:t xml:space="preserve"> </w:t>
      </w:r>
      <m:oMath>
        <m:r>
          <m:t>A</m:t>
        </m:r>
      </m:oMath>
      <w:r>
        <w:t xml:space="preserve">.</w:t>
      </w:r>
    </w:p>
    <w:bookmarkEnd w:id="21"/>
    <w:bookmarkStart w:id="22" w:name="when-can-we-use-eigendecomposition"/>
    <w:p>
      <w:pPr>
        <w:pStyle w:val="Heading3"/>
      </w:pPr>
      <w:r>
        <w:t xml:space="preserve">When Can We Use Eigendecomposition?</w:t>
      </w:r>
    </w:p>
    <w:p>
      <w:pPr>
        <w:pStyle w:val="FirstParagraph"/>
      </w:pPr>
      <w:r>
        <w:t xml:space="preserve">Not all matrices can be decomposed this way.</w:t>
      </w:r>
    </w:p>
    <w:p>
      <w:pPr>
        <w:pStyle w:val="Compact"/>
        <w:numPr>
          <w:ilvl w:val="0"/>
          <w:numId w:val="1003"/>
        </w:numPr>
      </w:pPr>
      <w:r>
        <w:t xml:space="preserve">Eigendecomposition is possible for</w:t>
      </w:r>
      <w:r>
        <w:t xml:space="preserve"> </w:t>
      </w:r>
      <w:r>
        <w:rPr>
          <w:b/>
          <w:bCs/>
        </w:rPr>
        <w:t xml:space="preserve">diagonalizable matrices</w:t>
      </w:r>
      <w:r>
        <w:t xml:space="preserve">, i.e., matrices with enough linearly independent eigenvectors to form a basis.</w:t>
      </w:r>
    </w:p>
    <w:p>
      <w:pPr>
        <w:pStyle w:val="Compact"/>
        <w:numPr>
          <w:ilvl w:val="0"/>
          <w:numId w:val="1003"/>
        </w:numPr>
      </w:pPr>
      <w:r>
        <w:rPr>
          <w:b/>
          <w:bCs/>
        </w:rPr>
        <w:t xml:space="preserve">Symmetric matrices</w:t>
      </w:r>
      <w:r>
        <w:t xml:space="preserve"> </w:t>
      </w:r>
      <w:r>
        <w:t xml:space="preserve">(in real-valued cases) are always diagonalizable and have orthogonal eigenvectors.</w:t>
      </w:r>
    </w:p>
    <w:p>
      <w:pPr>
        <w:pStyle w:val="FirstParagraph"/>
      </w:pPr>
      <w:r>
        <w:t xml:space="preserve">If a matrix is</w:t>
      </w:r>
      <w:r>
        <w:t xml:space="preserve"> </w:t>
      </w:r>
      <w:r>
        <w:rPr>
          <w:b/>
          <w:bCs/>
        </w:rPr>
        <w:t xml:space="preserve">defective</w:t>
      </w:r>
      <w:r>
        <w:t xml:space="preserve"> </w:t>
      </w:r>
      <w:r>
        <w:t xml:space="preserve">(doesn’t have enough eigenvectors), we can’t use eigendecomposition directly — but other decompositions (like Jordan decomposition or SVD) still work.</w:t>
      </w:r>
    </w:p>
    <w:bookmarkEnd w:id="22"/>
    <w:bookmarkStart w:id="23" w:name="why-is-this-useful"/>
    <w:p>
      <w:pPr>
        <w:pStyle w:val="Heading3"/>
      </w:pPr>
      <w:r>
        <w:t xml:space="preserve">Why Is This Useful?</w:t>
      </w:r>
    </w:p>
    <w:p>
      <w:pPr>
        <w:pStyle w:val="FirstParagraph"/>
      </w:pPr>
      <w:r>
        <w:t xml:space="preserve">Eigendecomposition lets us</w:t>
      </w:r>
      <w:r>
        <w:t xml:space="preserve"> </w:t>
      </w:r>
      <w:r>
        <w:rPr>
          <w:b/>
          <w:bCs/>
        </w:rPr>
        <w:t xml:space="preserve">simplify matrix operations</w:t>
      </w:r>
      <w:r>
        <w:t xml:space="preserve"> </w:t>
      </w:r>
      <w:r>
        <w:t xml:space="preserve">by working in a new coordinate system defined by eigenvectors.</w:t>
      </w:r>
    </w:p>
    <w:p>
      <w:pPr>
        <w:pStyle w:val="BodyText"/>
      </w:pPr>
      <w:r>
        <w:t xml:space="preserve">If:</w:t>
      </w:r>
    </w:p>
    <w:p>
      <w:pPr>
        <w:pStyle w:val="BodyText"/>
      </w:pPr>
      <m:oMathPara>
        <m:oMathParaPr>
          <m:jc m:val="center"/>
        </m:oMathParaPr>
        <m:oMath>
          <m:r>
            <m:t>A</m:t>
          </m:r>
          <m:r>
            <m:rPr>
              <m:sty m:val="p"/>
            </m:rPr>
            <m:t>=</m:t>
          </m:r>
          <m:r>
            <m:t>Q</m:t>
          </m:r>
          <m:r>
            <m:t>Λ</m:t>
          </m:r>
          <m:sSup>
            <m:e>
              <m:r>
                <m:t>Q</m:t>
              </m:r>
            </m:e>
            <m:sup>
              <m:r>
                <m:rPr>
                  <m:sty m:val="p"/>
                </m:rPr>
                <m:t>−</m:t>
              </m:r>
              <m:r>
                <m:t>1</m:t>
              </m:r>
            </m:sup>
          </m:sSup>
        </m:oMath>
      </m:oMathPara>
    </w:p>
    <w:p>
      <w:pPr>
        <w:pStyle w:val="FirstParagraph"/>
      </w:pPr>
      <w:r>
        <w:t xml:space="preserve">Then:</w:t>
      </w:r>
    </w:p>
    <w:p>
      <w:pPr>
        <w:pStyle w:val="BodyText"/>
      </w:pPr>
      <m:oMathPara>
        <m:oMathParaPr>
          <m:jc m:val="center"/>
        </m:oMathParaPr>
        <m:oMath>
          <m:sSup>
            <m:e>
              <m:r>
                <m:t>A</m:t>
              </m:r>
            </m:e>
            <m:sup>
              <m:r>
                <m:t>k</m:t>
              </m:r>
            </m:sup>
          </m:sSup>
          <m:r>
            <m:rPr>
              <m:sty m:val="p"/>
            </m:rPr>
            <m:t>=</m:t>
          </m:r>
          <m:r>
            <m:t>Q</m:t>
          </m:r>
          <m:sSup>
            <m:e>
              <m:r>
                <m:t>Λ</m:t>
              </m:r>
            </m:e>
            <m:sup>
              <m:r>
                <m:t>k</m:t>
              </m:r>
            </m:sup>
          </m:sSup>
          <m:sSup>
            <m:e>
              <m:r>
                <m:t>Q</m:t>
              </m:r>
            </m:e>
            <m:sup>
              <m:r>
                <m:rPr>
                  <m:sty m:val="p"/>
                </m:rPr>
                <m:t>−</m:t>
              </m:r>
              <m:r>
                <m:t>1</m:t>
              </m:r>
            </m:sup>
          </m:sSup>
        </m:oMath>
      </m:oMathPara>
    </w:p>
    <w:p>
      <w:pPr>
        <w:pStyle w:val="FirstParagraph"/>
      </w:pPr>
      <w:r>
        <w:t xml:space="preserve">Where</w:t>
      </w:r>
      <w:r>
        <w:t xml:space="preserve"> </w:t>
      </w:r>
      <m:oMath>
        <m:sSup>
          <m:e>
            <m:r>
              <m:t>Λ</m:t>
            </m:r>
          </m:e>
          <m:sup>
            <m:r>
              <m:t>k</m:t>
            </m:r>
          </m:sup>
        </m:sSup>
      </m:oMath>
      <w:r>
        <w:t xml:space="preserve"> </w:t>
      </w:r>
      <w:r>
        <w:t xml:space="preserve">is just the diagonal matrix with each eigenvalue raised to the</w:t>
      </w:r>
      <w:r>
        <w:t xml:space="preserve"> </w:t>
      </w:r>
      <m:oMath>
        <m:r>
          <m:t>k</m:t>
        </m:r>
      </m:oMath>
      <w:r>
        <w:t xml:space="preserve">-th power. This makes repeated multiplications or exponentials of matrices much easier.</w:t>
      </w:r>
    </w:p>
    <w:bookmarkEnd w:id="23"/>
    <w:bookmarkStart w:id="28" w:name="applications-in-data-science-and-beyond"/>
    <w:p>
      <w:pPr>
        <w:pStyle w:val="Heading3"/>
      </w:pPr>
      <w:r>
        <w:t xml:space="preserve">Applications in Data Science and Beyond</w:t>
      </w:r>
    </w:p>
    <w:bookmarkStart w:id="24" w:name="principal-component-analysis-pca"/>
    <w:p>
      <w:pPr>
        <w:pStyle w:val="Heading4"/>
      </w:pPr>
      <w:r>
        <w:rPr>
          <w:b/>
          <w:bCs/>
        </w:rPr>
        <w:t xml:space="preserve">Principal Component Analysis (PCA)</w:t>
      </w:r>
    </w:p>
    <w:p>
      <w:pPr>
        <w:pStyle w:val="Compact"/>
        <w:numPr>
          <w:ilvl w:val="0"/>
          <w:numId w:val="1004"/>
        </w:numPr>
      </w:pPr>
      <w:r>
        <w:t xml:space="preserve">PCA uses eigendecomposition of the covariance matrix to find the</w:t>
      </w:r>
      <w:r>
        <w:t xml:space="preserve"> </w:t>
      </w:r>
      <w:r>
        <w:rPr>
          <w:b/>
          <w:bCs/>
        </w:rPr>
        <w:t xml:space="preserve">principal directions</w:t>
      </w:r>
      <w:r>
        <w:t xml:space="preserve"> </w:t>
      </w:r>
      <w:r>
        <w:t xml:space="preserve">of data variability.</w:t>
      </w:r>
    </w:p>
    <w:p>
      <w:pPr>
        <w:pStyle w:val="Compact"/>
        <w:numPr>
          <w:ilvl w:val="0"/>
          <w:numId w:val="1004"/>
        </w:numPr>
      </w:pPr>
      <w:r>
        <w:t xml:space="preserve">Eigenvectors correspond to directions of maximum variance; eigenvalues tell you how much variance is captured.</w:t>
      </w:r>
    </w:p>
    <w:bookmarkEnd w:id="24"/>
    <w:bookmarkStart w:id="25" w:name="X0f87279e3263a2500978a510b92f7cd1f238811"/>
    <w:p>
      <w:pPr>
        <w:pStyle w:val="Heading4"/>
      </w:pPr>
      <w:r>
        <w:rPr>
          <w:b/>
          <w:bCs/>
        </w:rPr>
        <w:t xml:space="preserve">Solving Systems of Differential Equations</w:t>
      </w:r>
    </w:p>
    <w:p>
      <w:pPr>
        <w:pStyle w:val="Compact"/>
        <w:numPr>
          <w:ilvl w:val="0"/>
          <w:numId w:val="1005"/>
        </w:numPr>
      </w:pPr>
      <w:r>
        <w:t xml:space="preserve">Linear ODE systems can be solved by diagonalizing the system matrix.</w:t>
      </w:r>
    </w:p>
    <w:bookmarkEnd w:id="25"/>
    <w:bookmarkStart w:id="26" w:name="graph-analysis"/>
    <w:p>
      <w:pPr>
        <w:pStyle w:val="Heading4"/>
      </w:pPr>
      <w:r>
        <w:rPr>
          <w:b/>
          <w:bCs/>
        </w:rPr>
        <w:t xml:space="preserve">Graph Analysis</w:t>
      </w:r>
    </w:p>
    <w:p>
      <w:pPr>
        <w:pStyle w:val="Compact"/>
        <w:numPr>
          <w:ilvl w:val="0"/>
          <w:numId w:val="1006"/>
        </w:numPr>
      </w:pPr>
      <w:r>
        <w:t xml:space="preserve">In spectral graph theory, eigenvalues of adjacency or Laplacian matrices reveal connectivity and clustering properties.</w:t>
      </w:r>
    </w:p>
    <w:bookmarkEnd w:id="26"/>
    <w:bookmarkStart w:id="27" w:name="markov-chains"/>
    <w:p>
      <w:pPr>
        <w:pStyle w:val="Heading4"/>
      </w:pPr>
      <w:r>
        <w:rPr>
          <w:b/>
          <w:bCs/>
        </w:rPr>
        <w:t xml:space="preserve">Markov Chains</w:t>
      </w:r>
    </w:p>
    <w:p>
      <w:pPr>
        <w:pStyle w:val="Compact"/>
        <w:numPr>
          <w:ilvl w:val="0"/>
          <w:numId w:val="1007"/>
        </w:numPr>
      </w:pPr>
      <w:r>
        <w:t xml:space="preserve">The steady state of a Markov process is related to the eigenvector corresponding to eigenvalue</w:t>
      </w:r>
      <w:r>
        <w:t xml:space="preserve"> </w:t>
      </w:r>
      <m:oMath>
        <m:r>
          <m:t>λ</m:t>
        </m:r>
        <m:r>
          <m:rPr>
            <m:sty m:val="p"/>
          </m:rPr>
          <m:t>=</m:t>
        </m:r>
        <m:r>
          <m:t>1</m:t>
        </m:r>
      </m:oMath>
      <w:r>
        <w:t xml:space="preserve">.</w:t>
      </w:r>
    </w:p>
    <w:p>
      <w:r>
        <w:pict>
          <v:rect style="width:0;height:1.5pt" o:hralign="center" o:hrstd="t" o:hr="t"/>
        </w:pict>
      </w:r>
    </w:p>
    <w:bookmarkEnd w:id="27"/>
    <w:bookmarkEnd w:id="28"/>
    <w:bookmarkStart w:id="29" w:name="a-simple-example"/>
    <w:p>
      <w:pPr>
        <w:pStyle w:val="Heading3"/>
      </w:pPr>
      <w:r>
        <w:t xml:space="preserve">A Simple Example</w:t>
      </w:r>
    </w:p>
    <w:p>
      <w:pPr>
        <w:pStyle w:val="FirstParagraph"/>
      </w:pPr>
      <w:r>
        <w:t xml:space="preserve">Let’s take:</w:t>
      </w:r>
    </w:p>
    <w:p>
      <w:pPr>
        <w:pStyle w:val="BodyText"/>
      </w:pPr>
      <m:oMathPara>
        <m:oMathParaPr>
          <m:jc m:val="center"/>
        </m:oMathParaPr>
        <m:oMath>
          <m:r>
            <m:t>A</m:t>
          </m:r>
          <m:r>
            <m:rPr>
              <m:sty m:val="p"/>
            </m:rPr>
            <m:t>=</m:t>
          </m:r>
          <m:d>
            <m:dPr>
              <m:begChr m:val="["/>
              <m:sepChr m:val=""/>
              <m:endChr m:val="]"/>
              <m:grow/>
            </m:dPr>
            <m:e>
              <m:m>
                <m:mPr>
                  <m:baseJc m:val="center"/>
                  <m:plcHide m:val="on"/>
                  <m:mcs>
                    <m:mc>
                      <m:mcPr>
                        <m:mcJc m:val="center"/>
                        <m:count m:val="1"/>
                      </m:mcPr>
                    </m:mc>
                    <m:mc>
                      <m:mcPr>
                        <m:mcJc m:val="center"/>
                        <m:count m:val="1"/>
                      </m:mcPr>
                    </m:mc>
                  </m:mcs>
                </m:mPr>
                <m:mr>
                  <m:e>
                    <m:r>
                      <m:t>4</m:t>
                    </m:r>
                  </m:e>
                  <m:e>
                    <m:r>
                      <m:t>1</m:t>
                    </m:r>
                  </m:e>
                </m:mr>
                <m:mr>
                  <m:e>
                    <m:r>
                      <m:t>2</m:t>
                    </m:r>
                  </m:e>
                  <m:e>
                    <m:r>
                      <m:t>3</m:t>
                    </m:r>
                  </m:e>
                </m:mr>
              </m:m>
            </m:e>
          </m:d>
        </m:oMath>
      </m:oMathPara>
    </w:p>
    <w:p>
      <w:pPr>
        <w:pStyle w:val="Compact"/>
        <w:numPr>
          <w:ilvl w:val="0"/>
          <w:numId w:val="1008"/>
        </w:numPr>
      </w:pPr>
      <w:r>
        <w:rPr>
          <w:b/>
          <w:bCs/>
        </w:rPr>
        <w:t xml:space="preserve">Find eigenvalues</w:t>
      </w:r>
      <w:r>
        <w:t xml:space="preserve"> </w:t>
      </w:r>
      <w:r>
        <w:t xml:space="preserve">by solving:</w:t>
      </w:r>
    </w:p>
    <w:p>
      <w:pPr>
        <w:pStyle w:val="FirstParagraph"/>
      </w:pPr>
      <m:oMathPara>
        <m:oMathParaPr>
          <m:jc m:val="center"/>
        </m:oMathParaPr>
        <m:oMath>
          <m:r>
            <m:rPr>
              <m:sty m:val="p"/>
            </m:rPr>
            <m:t>det</m:t>
          </m:r>
          <m:d>
            <m:dPr>
              <m:begChr m:val="("/>
              <m:sepChr m:val=""/>
              <m:endChr m:val=")"/>
              <m:grow/>
            </m:dPr>
            <m:e>
              <m:r>
                <m:t>A</m:t>
              </m:r>
              <m:r>
                <m:rPr>
                  <m:sty m:val="p"/>
                </m:rPr>
                <m:t>−</m:t>
              </m:r>
              <m:r>
                <m:t>λ</m:t>
              </m:r>
              <m:r>
                <m:t>I</m:t>
              </m:r>
            </m:e>
          </m:d>
          <m:r>
            <m:rPr>
              <m:sty m:val="p"/>
            </m:rPr>
            <m:t>=</m:t>
          </m:r>
          <m:r>
            <m:t>0</m:t>
          </m:r>
        </m:oMath>
      </m:oMathPara>
    </w:p>
    <w:p>
      <w:pPr>
        <w:pStyle w:val="FirstParagraph"/>
      </w:pPr>
      <m:oMathPara>
        <m:oMathParaPr>
          <m:jc m:val="center"/>
        </m:oMathParaPr>
        <m:oMath>
          <m:d>
            <m:dPr>
              <m:begChr m:val="("/>
              <m:sepChr m:val=""/>
              <m:endChr m:val=")"/>
              <m:grow/>
            </m:dPr>
            <m:e>
              <m:r>
                <m:t>4</m:t>
              </m:r>
              <m:r>
                <m:rPr>
                  <m:sty m:val="p"/>
                </m:rPr>
                <m:t>−</m:t>
              </m:r>
              <m:r>
                <m:t>λ</m:t>
              </m:r>
            </m:e>
          </m:d>
          <m:d>
            <m:dPr>
              <m:begChr m:val="("/>
              <m:sepChr m:val=""/>
              <m:endChr m:val=")"/>
              <m:grow/>
            </m:dPr>
            <m:e>
              <m:r>
                <m:t>3</m:t>
              </m:r>
              <m:r>
                <m:rPr>
                  <m:sty m:val="p"/>
                </m:rPr>
                <m:t>−</m:t>
              </m:r>
              <m:r>
                <m:t>λ</m:t>
              </m:r>
            </m:e>
          </m:d>
          <m:r>
            <m:rPr>
              <m:sty m:val="p"/>
            </m:rPr>
            <m:t>−</m:t>
          </m:r>
          <m:r>
            <m:t>2</m:t>
          </m:r>
          <m:r>
            <m:rPr>
              <m:sty m:val="p"/>
            </m:rPr>
            <m:t>=</m:t>
          </m:r>
          <m:sSup>
            <m:e>
              <m:r>
                <m:t>λ</m:t>
              </m:r>
            </m:e>
            <m:sup>
              <m:r>
                <m:t>2</m:t>
              </m:r>
            </m:sup>
          </m:sSup>
          <m:r>
            <m:rPr>
              <m:sty m:val="p"/>
            </m:rPr>
            <m:t>−</m:t>
          </m:r>
          <m:r>
            <m:t>7</m:t>
          </m:r>
          <m:r>
            <m:t>λ</m:t>
          </m:r>
          <m:r>
            <m:rPr>
              <m:sty m:val="p"/>
            </m:rPr>
            <m:t>+</m:t>
          </m:r>
          <m:r>
            <m:t>10</m:t>
          </m:r>
          <m:r>
            <m:rPr>
              <m:sty m:val="p"/>
            </m:rPr>
            <m:t>=</m:t>
          </m:r>
          <m:r>
            <m:t>0</m:t>
          </m:r>
        </m:oMath>
      </m:oMathPara>
    </w:p>
    <w:p>
      <w:pPr>
        <w:pStyle w:val="FirstParagraph"/>
      </w:pPr>
      <m:oMathPara>
        <m:oMathParaPr>
          <m:jc m:val="center"/>
        </m:oMathParaPr>
        <m:oMath>
          <m:sSub>
            <m:e>
              <m:r>
                <m:t>λ</m:t>
              </m:r>
            </m:e>
            <m:sub>
              <m:r>
                <m:t>1</m:t>
              </m:r>
            </m:sub>
          </m:sSub>
          <m:r>
            <m:rPr>
              <m:sty m:val="p"/>
            </m:rPr>
            <m:t>=</m:t>
          </m:r>
          <m:r>
            <m:t>5</m:t>
          </m:r>
          <m:r>
            <m:rPr>
              <m:sty m:val="p"/>
            </m:rPr>
            <m:t>,</m:t>
          </m:r>
          <m:r>
            <m:t> </m:t>
          </m:r>
          <m:sSub>
            <m:e>
              <m:r>
                <m:t>λ</m:t>
              </m:r>
            </m:e>
            <m:sub>
              <m:r>
                <m:t>2</m:t>
              </m:r>
            </m:sub>
          </m:sSub>
          <m:r>
            <m:rPr>
              <m:sty m:val="p"/>
            </m:rPr>
            <m:t>=</m:t>
          </m:r>
          <m:r>
            <m:t>2</m:t>
          </m:r>
        </m:oMath>
      </m:oMathPara>
    </w:p>
    <w:p>
      <w:pPr>
        <w:pStyle w:val="Compact"/>
        <w:numPr>
          <w:ilvl w:val="0"/>
          <w:numId w:val="1009"/>
        </w:numPr>
      </w:pPr>
      <w:r>
        <w:rPr>
          <w:b/>
          <w:bCs/>
        </w:rPr>
        <w:t xml:space="preserve">Find eigenvectors</w:t>
      </w:r>
      <w:r>
        <w:t xml:space="preserve"> </w:t>
      </w:r>
      <w:r>
        <w:t xml:space="preserve">by solving</w:t>
      </w:r>
      <w:r>
        <w:t xml:space="preserve"> </w:t>
      </w:r>
      <m:oMath>
        <m:d>
          <m:dPr>
            <m:begChr m:val="("/>
            <m:sepChr m:val=""/>
            <m:endChr m:val=")"/>
            <m:grow/>
          </m:dPr>
          <m:e>
            <m:r>
              <m:t>A</m:t>
            </m:r>
            <m:r>
              <m:rPr>
                <m:sty m:val="p"/>
              </m:rPr>
              <m:t>−</m:t>
            </m:r>
            <m:r>
              <m:t>λ</m:t>
            </m:r>
            <m:r>
              <m:t>I</m:t>
            </m:r>
          </m:e>
        </m:d>
        <m:r>
          <m:rPr>
            <m:sty m:val="b"/>
          </m:rPr>
          <m:t>v</m:t>
        </m:r>
        <m:r>
          <m:rPr>
            <m:sty m:val="p"/>
          </m:rPr>
          <m:t>=</m:t>
        </m:r>
        <m:r>
          <m:t>0</m:t>
        </m:r>
      </m:oMath>
      <w:r>
        <w:t xml:space="preserve">.</w:t>
      </w:r>
    </w:p>
    <w:p>
      <w:pPr>
        <w:pStyle w:val="Compact"/>
        <w:numPr>
          <w:ilvl w:val="0"/>
          <w:numId w:val="1010"/>
        </w:numPr>
      </w:pPr>
      <w:r>
        <w:t xml:space="preserve">For</w:t>
      </w:r>
      <w:r>
        <w:t xml:space="preserve"> </w:t>
      </w:r>
      <m:oMath>
        <m:r>
          <m:t>λ</m:t>
        </m:r>
        <m:r>
          <m:rPr>
            <m:sty m:val="p"/>
          </m:rPr>
          <m:t>=</m:t>
        </m:r>
        <m:r>
          <m:t>5</m:t>
        </m:r>
      </m:oMath>
      <w:r>
        <w:t xml:space="preserve">: eigenvector</w:t>
      </w:r>
      <w:r>
        <w:t xml:space="preserve"> </w:t>
      </w:r>
      <m:oMath>
        <m:sSub>
          <m:e>
            <m:r>
              <m:rPr>
                <m:sty m:val="b"/>
              </m:rPr>
              <m:t>v</m:t>
            </m:r>
          </m:e>
          <m:sub>
            <m:r>
              <m:t>1</m:t>
            </m:r>
          </m:sub>
        </m:sSub>
        <m:r>
          <m:rPr>
            <m:sty m:val="p"/>
          </m:rPr>
          <m:t>=</m:t>
        </m:r>
        <m:sSup>
          <m:e>
            <m:d>
              <m:dPr>
                <m:begChr m:val="["/>
                <m:sepChr m:val=""/>
                <m:endChr m:val="]"/>
                <m:grow/>
              </m:dPr>
              <m:e>
                <m:r>
                  <m:t>1</m:t>
                </m:r>
                <m:r>
                  <m:rPr>
                    <m:sty m:val="p"/>
                  </m:rPr>
                  <m:t>,</m:t>
                </m:r>
                <m:r>
                  <m:t>1</m:t>
                </m:r>
              </m:e>
            </m:d>
          </m:e>
          <m:sup>
            <m:r>
              <m:t>T</m:t>
            </m:r>
          </m:sup>
        </m:sSup>
      </m:oMath>
    </w:p>
    <w:p>
      <w:pPr>
        <w:pStyle w:val="Compact"/>
        <w:numPr>
          <w:ilvl w:val="0"/>
          <w:numId w:val="1010"/>
        </w:numPr>
      </w:pPr>
      <w:r>
        <w:t xml:space="preserve">For</w:t>
      </w:r>
      <w:r>
        <w:t xml:space="preserve"> </w:t>
      </w:r>
      <m:oMath>
        <m:r>
          <m:t>λ</m:t>
        </m:r>
        <m:r>
          <m:rPr>
            <m:sty m:val="p"/>
          </m:rPr>
          <m:t>=</m:t>
        </m:r>
        <m:r>
          <m:t>2</m:t>
        </m:r>
      </m:oMath>
      <w:r>
        <w:t xml:space="preserve">: eigenvector</w:t>
      </w:r>
      <w:r>
        <w:t xml:space="preserve"> </w:t>
      </w:r>
      <m:oMath>
        <m:sSub>
          <m:e>
            <m:r>
              <m:rPr>
                <m:sty m:val="b"/>
              </m:rPr>
              <m:t>v</m:t>
            </m:r>
          </m:e>
          <m:sub>
            <m:r>
              <m:t>2</m:t>
            </m:r>
          </m:sub>
        </m:sSub>
        <m:r>
          <m:rPr>
            <m:sty m:val="p"/>
          </m:rPr>
          <m:t>=</m:t>
        </m:r>
        <m:sSup>
          <m:e>
            <m:d>
              <m:dPr>
                <m:begChr m:val="["/>
                <m:sepChr m:val=""/>
                <m:endChr m:val="]"/>
                <m:grow/>
              </m:dPr>
              <m:e>
                <m:r>
                  <m:rPr>
                    <m:sty m:val="p"/>
                  </m:rPr>
                  <m:t>−</m:t>
                </m:r>
                <m:r>
                  <m:t>1</m:t>
                </m:r>
                <m:r>
                  <m:rPr>
                    <m:sty m:val="p"/>
                  </m:rPr>
                  <m:t>,</m:t>
                </m:r>
                <m:r>
                  <m:t>2</m:t>
                </m:r>
              </m:e>
            </m:d>
          </m:e>
          <m:sup>
            <m:r>
              <m:t>T</m:t>
            </m:r>
          </m:sup>
        </m:sSup>
      </m:oMath>
    </w:p>
    <w:p>
      <w:pPr>
        <w:pStyle w:val="Compact"/>
        <w:numPr>
          <w:ilvl w:val="0"/>
          <w:numId w:val="1011"/>
        </w:numPr>
      </w:pPr>
      <w:r>
        <w:rPr>
          <w:b/>
          <w:bCs/>
        </w:rPr>
        <w:t xml:space="preserve">Form Q and</w:t>
      </w:r>
      <w:r>
        <w:rPr>
          <w:b/>
          <w:bCs/>
        </w:rPr>
        <w:t xml:space="preserve"> </w:t>
      </w:r>
      <m:oMath>
        <m:r>
          <m:t>Λ</m:t>
        </m:r>
      </m:oMath>
      <w:r>
        <w:t xml:space="preserve">:</w:t>
      </w:r>
    </w:p>
    <w:p>
      <w:pPr>
        <w:pStyle w:val="FirstParagraph"/>
      </w:pPr>
      <m:oMathPara>
        <m:oMathParaPr>
          <m:jc m:val="center"/>
        </m:oMathParaPr>
        <m:oMath>
          <m:r>
            <m:t>Q</m:t>
          </m:r>
          <m:r>
            <m:rPr>
              <m:sty m:val="p"/>
            </m:rPr>
            <m:t>=</m:t>
          </m:r>
          <m:d>
            <m:dPr>
              <m:begChr m:val="["/>
              <m:sepChr m:val=""/>
              <m:endChr m:val="]"/>
              <m:grow/>
            </m:dPr>
            <m:e>
              <m:m>
                <m:mPr>
                  <m:baseJc m:val="center"/>
                  <m:plcHide m:val="on"/>
                  <m:mcs>
                    <m:mc>
                      <m:mcPr>
                        <m:mcJc m:val="center"/>
                        <m:count m:val="1"/>
                      </m:mcPr>
                    </m:mc>
                    <m:mc>
                      <m:mcPr>
                        <m:mcJc m:val="center"/>
                        <m:count m:val="1"/>
                      </m:mcPr>
                    </m:mc>
                  </m:mcs>
                </m:mPr>
                <m:mr>
                  <m:e>
                    <m:r>
                      <m:t>1</m:t>
                    </m:r>
                  </m:e>
                  <m:e>
                    <m:r>
                      <m:rPr>
                        <m:sty m:val="p"/>
                      </m:rPr>
                      <m:t>−</m:t>
                    </m:r>
                    <m:r>
                      <m:t>1</m:t>
                    </m:r>
                  </m:e>
                </m:mr>
                <m:mr>
                  <m:e>
                    <m:r>
                      <m:t>1</m:t>
                    </m:r>
                  </m:e>
                  <m:e>
                    <m:r>
                      <m:t>2</m:t>
                    </m:r>
                  </m:e>
                </m:mr>
              </m:m>
            </m:e>
          </m:d>
          <m:r>
            <m:rPr>
              <m:sty m:val="p"/>
            </m:rPr>
            <m:t>,</m:t>
          </m:r>
          <m:r>
            <m:t> </m:t>
          </m:r>
          <m:r>
            <m:t>Λ</m:t>
          </m:r>
          <m:r>
            <m:rPr>
              <m:sty m:val="p"/>
            </m:rPr>
            <m:t>=</m:t>
          </m:r>
          <m:d>
            <m:dPr>
              <m:begChr m:val="["/>
              <m:sepChr m:val=""/>
              <m:endChr m:val="]"/>
              <m:grow/>
            </m:dPr>
            <m:e>
              <m:m>
                <m:mPr>
                  <m:baseJc m:val="center"/>
                  <m:plcHide m:val="on"/>
                  <m:mcs>
                    <m:mc>
                      <m:mcPr>
                        <m:mcJc m:val="center"/>
                        <m:count m:val="1"/>
                      </m:mcPr>
                    </m:mc>
                    <m:mc>
                      <m:mcPr>
                        <m:mcJc m:val="center"/>
                        <m:count m:val="1"/>
                      </m:mcPr>
                    </m:mc>
                  </m:mcs>
                </m:mPr>
                <m:mr>
                  <m:e>
                    <m:r>
                      <m:t>5</m:t>
                    </m:r>
                  </m:e>
                  <m:e>
                    <m:r>
                      <m:t>0</m:t>
                    </m:r>
                  </m:e>
                </m:mr>
                <m:mr>
                  <m:e>
                    <m:r>
                      <m:t>0</m:t>
                    </m:r>
                  </m:e>
                  <m:e>
                    <m:r>
                      <m:t>2</m:t>
                    </m:r>
                  </m:e>
                </m:mr>
              </m:m>
            </m:e>
          </m:d>
        </m:oMath>
      </m:oMathPara>
    </w:p>
    <w:p>
      <w:pPr>
        <w:pStyle w:val="Compact"/>
        <w:numPr>
          <w:ilvl w:val="0"/>
          <w:numId w:val="1012"/>
        </w:numPr>
      </w:pPr>
      <w:r>
        <w:rPr>
          <w:b/>
          <w:bCs/>
        </w:rPr>
        <w:t xml:space="preserve">Check</w:t>
      </w:r>
      <w:r>
        <w:t xml:space="preserve">:</w:t>
      </w:r>
    </w:p>
    <w:p>
      <w:pPr>
        <w:pStyle w:val="FirstParagraph"/>
      </w:pPr>
      <m:oMathPara>
        <m:oMathParaPr>
          <m:jc m:val="center"/>
        </m:oMathParaPr>
        <m:oMath>
          <m:r>
            <m:t>A</m:t>
          </m:r>
          <m:r>
            <m:rPr>
              <m:sty m:val="p"/>
            </m:rPr>
            <m:t>=</m:t>
          </m:r>
          <m:r>
            <m:t>Q</m:t>
          </m:r>
          <m:r>
            <m:t>Λ</m:t>
          </m:r>
          <m:sSup>
            <m:e>
              <m:r>
                <m:t>Q</m:t>
              </m:r>
            </m:e>
            <m:sup>
              <m:r>
                <m:rPr>
                  <m:sty m:val="p"/>
                </m:rPr>
                <m:t>−</m:t>
              </m:r>
              <m:r>
                <m:t>1</m:t>
              </m:r>
            </m:sup>
          </m:sSup>
        </m:oMath>
      </m:oMathPara>
    </w:p>
    <w:p>
      <w:r>
        <w:pict>
          <v:rect style="width:0;height:1.5pt" o:hralign="center" o:hrstd="t" o:hr="t"/>
        </w:pict>
      </w:r>
    </w:p>
    <w:bookmarkEnd w:id="29"/>
    <w:bookmarkStart w:id="33" w:name="visualization."/>
    <w:p>
      <w:pPr>
        <w:pStyle w:val="Heading3"/>
      </w:pPr>
      <w:r>
        <w:t xml:space="preserve">Visualization.</w:t>
      </w:r>
    </w:p>
    <w:p>
      <w:pPr>
        <w:pStyle w:val="FirstParagraph"/>
      </w:pPr>
      <w:r>
        <w:drawing>
          <wp:inline>
            <wp:extent cx="5334000" cy="2506911"/>
            <wp:effectExtent b="0" l="0" r="0" t="0"/>
            <wp:docPr descr="" title="" id="31" name="Picture"/>
            <a:graphic>
              <a:graphicData uri="http://schemas.openxmlformats.org/drawingml/2006/picture">
                <pic:pic>
                  <pic:nvPicPr>
                    <pic:cNvPr descr="index_files/figure-docx/cell-2-output-1.png" id="32" name="Picture"/>
                    <pic:cNvPicPr>
                      <a:picLocks noChangeArrowheads="1" noChangeAspect="1"/>
                    </pic:cNvPicPr>
                  </pic:nvPicPr>
                  <pic:blipFill>
                    <a:blip r:embed="rId30"/>
                    <a:stretch>
                      <a:fillRect/>
                    </a:stretch>
                  </pic:blipFill>
                  <pic:spPr bwMode="auto">
                    <a:xfrm>
                      <a:off x="0" y="0"/>
                      <a:ext cx="5334000" cy="2506911"/>
                    </a:xfrm>
                    <a:prstGeom prst="rect">
                      <a:avLst/>
                    </a:prstGeom>
                    <a:noFill/>
                    <a:ln w="9525">
                      <a:noFill/>
                      <a:headEnd/>
                      <a:tailEnd/>
                    </a:ln>
                  </pic:spPr>
                </pic:pic>
              </a:graphicData>
            </a:graphic>
          </wp:inline>
        </w:drawing>
      </w:r>
    </w:p>
    <w:bookmarkEnd w:id="33"/>
    <w:bookmarkStart w:id="35" w:name="key-takeaways"/>
    <w:p>
      <w:pPr>
        <w:pStyle w:val="Heading3"/>
      </w:pPr>
      <w:r>
        <w:t xml:space="preserve">Key Takeaways</w:t>
      </w:r>
    </w:p>
    <w:p>
      <w:pPr>
        <w:pStyle w:val="Compact"/>
        <w:numPr>
          <w:ilvl w:val="0"/>
          <w:numId w:val="1013"/>
        </w:numPr>
      </w:pPr>
      <w:r>
        <w:rPr>
          <w:b/>
          <w:bCs/>
        </w:rPr>
        <w:t xml:space="preserve">Eigendecomposition = diagonalization</w:t>
      </w:r>
      <w:r>
        <w:t xml:space="preserve"> </w:t>
      </w:r>
      <w:r>
        <w:t xml:space="preserve">of a matrix via eigenvalues and eigenvectors.</w:t>
      </w:r>
    </w:p>
    <w:p>
      <w:pPr>
        <w:pStyle w:val="Compact"/>
        <w:numPr>
          <w:ilvl w:val="0"/>
          <w:numId w:val="1013"/>
        </w:numPr>
      </w:pPr>
      <w:r>
        <w:t xml:space="preserve">Only works for diagonalizable matrices, but symmetric matrices are guaranteed to work.</w:t>
      </w:r>
    </w:p>
    <w:p>
      <w:pPr>
        <w:pStyle w:val="Compact"/>
        <w:numPr>
          <w:ilvl w:val="0"/>
          <w:numId w:val="1013"/>
        </w:numPr>
      </w:pPr>
      <w:r>
        <w:t xml:space="preserve">Simplifies many computations, from raising matrices to powers to solving ODEs.</w:t>
      </w:r>
    </w:p>
    <w:p>
      <w:pPr>
        <w:pStyle w:val="Compact"/>
        <w:numPr>
          <w:ilvl w:val="0"/>
          <w:numId w:val="1013"/>
        </w:numPr>
      </w:pPr>
      <w:r>
        <w:t xml:space="preserve">Foundation for PCA, spectral graph analysis, and many machine learning methods.</w:t>
      </w:r>
    </w:p>
    <w:p>
      <w:r>
        <w:pict>
          <v:rect style="width:0;height:1.5pt" o:hralign="center" o:hrstd="t" o:hr="t"/>
        </w:pict>
      </w:r>
    </w:p>
    <w:p>
      <w:pPr>
        <w:pStyle w:val="FirstParagraph"/>
      </w:pPr>
      <w:r>
        <w:rPr>
          <w:b/>
          <w:bCs/>
        </w:rPr>
        <w:t xml:space="preserve">Tip:</w:t>
      </w:r>
      <w:r>
        <w:t xml:space="preserve"> </w:t>
      </w:r>
      <w:r>
        <w:t xml:space="preserve">If your matrix isn’t diagonalizable, try</w:t>
      </w:r>
      <w:r>
        <w:t xml:space="preserve"> </w:t>
      </w:r>
      <w:r>
        <w:rPr>
          <w:b/>
          <w:bCs/>
        </w:rPr>
        <w:t xml:space="preserve">Singular Value Decomposition (SVD)</w:t>
      </w:r>
      <w:r>
        <w:t xml:space="preserve"> </w:t>
      </w:r>
      <w:r>
        <w:t xml:space="preserve">— it works for any matrix and generalizes many of the benefits of eigendecomposition.</w:t>
      </w:r>
    </w:p>
    <w:p>
      <w:pPr>
        <w:pStyle w:val="BodyText"/>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4" w:name="fb-root"/>
    <w:bookmarkEnd w:id="34"/>
    <w:p>
      <w:pPr>
        <w:pStyle w:val="BodyText"/>
      </w:pPr>
      <w:r>
        <w:rPr>
          <w:b/>
          <w:bCs/>
        </w:rPr>
        <w:t xml:space="preserve">You may also like</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decomposition: Understanding Eigendecomposition - A Fundamental Tool in Linear Algebra</dc:title>
  <dc:creator>Rafiq Islam</dc:creator>
  <cp:keywords/>
  <dcterms:created xsi:type="dcterms:W3CDTF">2025-08-13T17:05:01Z</dcterms:created>
  <dcterms:modified xsi:type="dcterms:W3CDTF">2025-08-13T17:05:01Z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2025-08-09</vt:lpwstr>
  </property>
  <property fmtid="{D5CDD505-2E9C-101B-9397-08002B2CF9AE}" pid="9" name="google-analytics">
    <vt:lpwstr/>
  </property>
  <property fmtid="{D5CDD505-2E9C-101B-9397-08002B2CF9AE}" pid="10" name="header-includes">
    <vt:lpwstr/>
  </property>
  <property fmtid="{D5CDD505-2E9C-101B-9397-08002B2CF9AE}" pid="11" name="image">
    <vt:lpwstr>dis.png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